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E145" w14:textId="6E5F7C4F" w:rsidR="00771165" w:rsidRPr="00771165" w:rsidRDefault="00771165" w:rsidP="00771165">
      <w:pPr>
        <w:rPr>
          <w:rFonts w:ascii="Aptos" w:hAnsi="Aptos"/>
          <w:b/>
          <w:bCs/>
          <w:lang w:val="en-GB"/>
        </w:rPr>
      </w:pPr>
      <w:r w:rsidRPr="00771165">
        <w:rPr>
          <w:rFonts w:ascii="Aptos" w:hAnsi="Aptos"/>
          <w:b/>
          <w:bCs/>
          <w:lang w:val="en-GB"/>
        </w:rPr>
        <w:t>Small-Scale Embedded Generation (SSEG) in South Africa:</w:t>
      </w:r>
    </w:p>
    <w:p w14:paraId="33E31FE8" w14:textId="77777777" w:rsidR="008C5535" w:rsidRDefault="008C5535" w:rsidP="00771165">
      <w:pPr>
        <w:rPr>
          <w:rFonts w:ascii="Aptos" w:hAnsi="Aptos"/>
          <w:b/>
          <w:bCs/>
          <w:lang w:val="en-GB"/>
        </w:rPr>
      </w:pPr>
    </w:p>
    <w:p w14:paraId="2B8ADEEC" w14:textId="4AEE5296" w:rsidR="00771165" w:rsidRPr="00771165" w:rsidRDefault="00771165" w:rsidP="00771165">
      <w:pPr>
        <w:rPr>
          <w:rFonts w:ascii="Aptos" w:hAnsi="Aptos"/>
          <w:b/>
          <w:bCs/>
          <w:lang w:val="en-GB"/>
        </w:rPr>
      </w:pPr>
      <w:r w:rsidRPr="00771165">
        <w:rPr>
          <w:rFonts w:ascii="Aptos" w:hAnsi="Aptos"/>
          <w:b/>
          <w:bCs/>
          <w:lang w:val="en-GB"/>
        </w:rPr>
        <w:t>What It Means for Solar Users—and the Road Ahead</w:t>
      </w:r>
    </w:p>
    <w:p w14:paraId="0996C8D2" w14:textId="77777777" w:rsidR="00771165" w:rsidRPr="00771165" w:rsidRDefault="00771165" w:rsidP="00771165">
      <w:pPr>
        <w:rPr>
          <w:rFonts w:ascii="Aptos" w:hAnsi="Aptos"/>
          <w:lang w:val="en-GB"/>
        </w:rPr>
      </w:pPr>
      <w:r w:rsidRPr="00771165">
        <w:rPr>
          <w:rFonts w:ascii="Aptos" w:hAnsi="Aptos"/>
          <w:b/>
          <w:bCs/>
          <w:lang w:val="en-GB"/>
        </w:rPr>
        <w:t>April 2025</w:t>
      </w:r>
    </w:p>
    <w:p w14:paraId="78A2E5E5" w14:textId="062669F3" w:rsidR="00771165" w:rsidRPr="00771165" w:rsidRDefault="00771165" w:rsidP="00771165">
      <w:pPr>
        <w:rPr>
          <w:rFonts w:ascii="Aptos" w:hAnsi="Aptos"/>
          <w:lang w:val="en-GB"/>
        </w:rPr>
      </w:pPr>
    </w:p>
    <w:p w14:paraId="1C5A7895" w14:textId="77777777" w:rsidR="00771165" w:rsidRPr="00771165" w:rsidRDefault="00771165" w:rsidP="00771165">
      <w:pPr>
        <w:rPr>
          <w:rFonts w:ascii="Aptos" w:hAnsi="Aptos"/>
          <w:b/>
          <w:bCs/>
          <w:lang w:val="en-GB"/>
        </w:rPr>
      </w:pPr>
      <w:r w:rsidRPr="00771165">
        <w:rPr>
          <w:rFonts w:ascii="Aptos" w:hAnsi="Aptos"/>
          <w:b/>
          <w:bCs/>
          <w:lang w:val="en-GB"/>
        </w:rPr>
        <w:t>Executive Summary</w:t>
      </w:r>
    </w:p>
    <w:p w14:paraId="55D09F4E" w14:textId="77777777" w:rsidR="00771165" w:rsidRPr="00771165" w:rsidRDefault="00771165" w:rsidP="00771165">
      <w:pPr>
        <w:rPr>
          <w:rFonts w:ascii="Aptos" w:hAnsi="Aptos"/>
          <w:lang w:val="en-GB"/>
        </w:rPr>
      </w:pPr>
      <w:r w:rsidRPr="00771165">
        <w:rPr>
          <w:rFonts w:ascii="Aptos" w:hAnsi="Aptos"/>
          <w:lang w:val="en-GB"/>
        </w:rPr>
        <w:t>Small-Scale Embedded Generation (SSEG) has taken centre stage in South Africa’s evolving energy sector. With regulatory clarity from Eskom mandating that all grid-connected solar systems—whether exporting power or not—must be registered, residential and commercial users alike are facing a new compliance reality.</w:t>
      </w:r>
    </w:p>
    <w:p w14:paraId="3F7C4F80" w14:textId="1A7F0F16" w:rsidR="00771165" w:rsidRPr="00771165" w:rsidRDefault="00771165" w:rsidP="00771165">
      <w:pPr>
        <w:rPr>
          <w:rFonts w:ascii="Aptos" w:hAnsi="Aptos"/>
          <w:lang w:val="en-GB"/>
        </w:rPr>
      </w:pPr>
      <w:r w:rsidRPr="00771165">
        <w:rPr>
          <w:rFonts w:ascii="Aptos" w:hAnsi="Aptos"/>
          <w:lang w:val="en-GB"/>
        </w:rPr>
        <w:t>This white paper provides a comprehensive overview of SSEG, analy</w:t>
      </w:r>
      <w:r w:rsidR="009255D6" w:rsidRPr="008C5535">
        <w:rPr>
          <w:rFonts w:ascii="Aptos" w:hAnsi="Aptos"/>
          <w:lang w:val="en-GB"/>
        </w:rPr>
        <w:t>s</w:t>
      </w:r>
      <w:r w:rsidRPr="00771165">
        <w:rPr>
          <w:rFonts w:ascii="Aptos" w:hAnsi="Aptos"/>
          <w:lang w:val="en-GB"/>
        </w:rPr>
        <w:t>es case studies across municipalities, explores registration costs and customer impact, and offers policy recommendations to align the system with South Africa’s Just Energy Transition objectives. It draws from real-world implementation data, user experience, and global benchmarks to support practical industry transformation.</w:t>
      </w:r>
    </w:p>
    <w:p w14:paraId="1F02A503" w14:textId="2D934763" w:rsidR="00771165" w:rsidRPr="00771165" w:rsidRDefault="00771165" w:rsidP="00771165">
      <w:pPr>
        <w:rPr>
          <w:rFonts w:ascii="Aptos" w:hAnsi="Aptos"/>
          <w:lang w:val="en-GB"/>
        </w:rPr>
      </w:pPr>
    </w:p>
    <w:p w14:paraId="438130D1" w14:textId="77777777" w:rsidR="00771165" w:rsidRPr="00771165" w:rsidRDefault="00771165" w:rsidP="00771165">
      <w:pPr>
        <w:rPr>
          <w:rFonts w:ascii="Aptos" w:hAnsi="Aptos"/>
          <w:b/>
          <w:bCs/>
          <w:lang w:val="en-GB"/>
        </w:rPr>
      </w:pPr>
      <w:r w:rsidRPr="00771165">
        <w:rPr>
          <w:rFonts w:ascii="Aptos" w:hAnsi="Aptos"/>
          <w:b/>
          <w:bCs/>
          <w:lang w:val="en-GB"/>
        </w:rPr>
        <w:t>1. What is SSEG and Why It Matters</w:t>
      </w:r>
    </w:p>
    <w:p w14:paraId="4E3A9BC4" w14:textId="77777777" w:rsidR="00771165" w:rsidRPr="00771165" w:rsidRDefault="00771165" w:rsidP="00771165">
      <w:pPr>
        <w:rPr>
          <w:rFonts w:ascii="Aptos" w:hAnsi="Aptos"/>
          <w:lang w:val="en-GB"/>
        </w:rPr>
      </w:pPr>
      <w:r w:rsidRPr="00771165">
        <w:rPr>
          <w:rFonts w:ascii="Aptos" w:hAnsi="Aptos"/>
          <w:lang w:val="en-GB"/>
        </w:rPr>
        <w:t>Small-Scale Embedded Generation refers to any power system, typically under 1MVA, that generates electricity and operates in parallel with the public grid. This includes residential rooftop solar, small commercial arrays, and other distributed generation systems.</w:t>
      </w:r>
    </w:p>
    <w:p w14:paraId="39767FE0" w14:textId="77777777" w:rsidR="00771165" w:rsidRPr="00771165" w:rsidRDefault="00771165" w:rsidP="00771165">
      <w:pPr>
        <w:rPr>
          <w:rFonts w:ascii="Aptos" w:hAnsi="Aptos"/>
          <w:lang w:val="en-GB"/>
        </w:rPr>
      </w:pPr>
      <w:r w:rsidRPr="00771165">
        <w:rPr>
          <w:rFonts w:ascii="Aptos" w:hAnsi="Aptos"/>
          <w:b/>
          <w:bCs/>
          <w:lang w:val="en-GB"/>
        </w:rPr>
        <w:t>Key reasons SSEG registration is vital:</w:t>
      </w:r>
    </w:p>
    <w:p w14:paraId="12148DC5" w14:textId="77777777" w:rsidR="00771165" w:rsidRPr="00771165" w:rsidRDefault="00771165" w:rsidP="00771165">
      <w:pPr>
        <w:numPr>
          <w:ilvl w:val="0"/>
          <w:numId w:val="1"/>
        </w:numPr>
        <w:rPr>
          <w:rFonts w:ascii="Aptos" w:hAnsi="Aptos"/>
          <w:lang w:val="en-GB"/>
        </w:rPr>
      </w:pPr>
      <w:r w:rsidRPr="00771165">
        <w:rPr>
          <w:rFonts w:ascii="Aptos" w:hAnsi="Aptos"/>
          <w:lang w:val="en-GB"/>
        </w:rPr>
        <w:t>Ensures safe integration into the grid</w:t>
      </w:r>
    </w:p>
    <w:p w14:paraId="398F666E" w14:textId="77777777" w:rsidR="00771165" w:rsidRPr="00771165" w:rsidRDefault="00771165" w:rsidP="00771165">
      <w:pPr>
        <w:numPr>
          <w:ilvl w:val="0"/>
          <w:numId w:val="1"/>
        </w:numPr>
        <w:rPr>
          <w:rFonts w:ascii="Aptos" w:hAnsi="Aptos"/>
          <w:lang w:val="en-GB"/>
        </w:rPr>
      </w:pPr>
      <w:r w:rsidRPr="00771165">
        <w:rPr>
          <w:rFonts w:ascii="Aptos" w:hAnsi="Aptos"/>
          <w:lang w:val="en-GB"/>
        </w:rPr>
        <w:t>Tracks decentralized energy to support national energy planning</w:t>
      </w:r>
    </w:p>
    <w:p w14:paraId="4D5955B7" w14:textId="77777777" w:rsidR="00771165" w:rsidRPr="00771165" w:rsidRDefault="00771165" w:rsidP="00771165">
      <w:pPr>
        <w:numPr>
          <w:ilvl w:val="0"/>
          <w:numId w:val="1"/>
        </w:numPr>
        <w:rPr>
          <w:rFonts w:ascii="Aptos" w:hAnsi="Aptos"/>
          <w:lang w:val="en-GB"/>
        </w:rPr>
      </w:pPr>
      <w:r w:rsidRPr="00771165">
        <w:rPr>
          <w:rFonts w:ascii="Aptos" w:hAnsi="Aptos"/>
          <w:lang w:val="en-GB"/>
        </w:rPr>
        <w:t>Enables future benefits like feed-in tariffs, net billing, and grid services</w:t>
      </w:r>
    </w:p>
    <w:p w14:paraId="773A1974" w14:textId="77777777" w:rsidR="00771165" w:rsidRPr="00771165" w:rsidRDefault="00771165" w:rsidP="00771165">
      <w:pPr>
        <w:rPr>
          <w:rFonts w:ascii="Aptos" w:hAnsi="Aptos"/>
          <w:lang w:val="en-GB"/>
        </w:rPr>
      </w:pPr>
      <w:r w:rsidRPr="00771165">
        <w:rPr>
          <w:rFonts w:ascii="Aptos" w:hAnsi="Aptos"/>
          <w:lang w:val="en-GB"/>
        </w:rPr>
        <w:t>South Africa is not unique—SSEG-like systems exist globally:</w:t>
      </w:r>
    </w:p>
    <w:p w14:paraId="0AEF7E64" w14:textId="77777777" w:rsidR="00771165" w:rsidRPr="00771165" w:rsidRDefault="00771165" w:rsidP="00771165">
      <w:pPr>
        <w:numPr>
          <w:ilvl w:val="0"/>
          <w:numId w:val="2"/>
        </w:numPr>
        <w:rPr>
          <w:rFonts w:ascii="Aptos" w:hAnsi="Aptos"/>
          <w:lang w:val="en-GB"/>
        </w:rPr>
      </w:pPr>
      <w:r w:rsidRPr="00771165">
        <w:rPr>
          <w:rFonts w:ascii="Aptos" w:hAnsi="Aptos"/>
          <w:b/>
          <w:bCs/>
          <w:lang w:val="en-GB"/>
        </w:rPr>
        <w:t>U.S.:</w:t>
      </w:r>
      <w:r w:rsidRPr="00771165">
        <w:rPr>
          <w:rFonts w:ascii="Aptos" w:hAnsi="Aptos"/>
          <w:lang w:val="en-GB"/>
        </w:rPr>
        <w:t> Distributed Generation with net metering</w:t>
      </w:r>
    </w:p>
    <w:p w14:paraId="20D07090" w14:textId="77777777" w:rsidR="00771165" w:rsidRPr="00771165" w:rsidRDefault="00771165" w:rsidP="00771165">
      <w:pPr>
        <w:numPr>
          <w:ilvl w:val="0"/>
          <w:numId w:val="2"/>
        </w:numPr>
        <w:rPr>
          <w:rFonts w:ascii="Aptos" w:hAnsi="Aptos"/>
          <w:lang w:val="en-GB"/>
        </w:rPr>
      </w:pPr>
      <w:r w:rsidRPr="00771165">
        <w:rPr>
          <w:rFonts w:ascii="Aptos" w:hAnsi="Aptos"/>
          <w:b/>
          <w:bCs/>
          <w:lang w:val="en-GB"/>
        </w:rPr>
        <w:t>Germany:</w:t>
      </w:r>
      <w:r w:rsidRPr="00771165">
        <w:rPr>
          <w:rFonts w:ascii="Aptos" w:hAnsi="Aptos"/>
          <w:lang w:val="en-GB"/>
        </w:rPr>
        <w:t> Prosumers selling power back to the grid</w:t>
      </w:r>
    </w:p>
    <w:p w14:paraId="777AFA8F" w14:textId="77777777" w:rsidR="00771165" w:rsidRPr="00771165" w:rsidRDefault="00771165" w:rsidP="00771165">
      <w:pPr>
        <w:numPr>
          <w:ilvl w:val="0"/>
          <w:numId w:val="2"/>
        </w:numPr>
        <w:rPr>
          <w:rFonts w:ascii="Aptos" w:hAnsi="Aptos"/>
          <w:lang w:val="en-GB"/>
        </w:rPr>
      </w:pPr>
      <w:r w:rsidRPr="00771165">
        <w:rPr>
          <w:rFonts w:ascii="Aptos" w:hAnsi="Aptos"/>
          <w:b/>
          <w:bCs/>
          <w:lang w:val="en-GB"/>
        </w:rPr>
        <w:t>UK:</w:t>
      </w:r>
      <w:r w:rsidRPr="00771165">
        <w:rPr>
          <w:rFonts w:ascii="Aptos" w:hAnsi="Aptos"/>
          <w:lang w:val="en-GB"/>
        </w:rPr>
        <w:t> Microgeneration schemes with export compensation</w:t>
      </w:r>
    </w:p>
    <w:p w14:paraId="43EB2D45" w14:textId="77777777" w:rsidR="00771165" w:rsidRPr="008C5535" w:rsidRDefault="00771165" w:rsidP="00771165">
      <w:pPr>
        <w:rPr>
          <w:rFonts w:ascii="Aptos" w:hAnsi="Aptos"/>
          <w:lang w:val="en-GB"/>
        </w:rPr>
      </w:pPr>
      <w:r w:rsidRPr="00771165">
        <w:rPr>
          <w:rFonts w:ascii="Aptos" w:hAnsi="Aptos"/>
          <w:lang w:val="en-GB"/>
        </w:rPr>
        <w:t>In each case, registration is a critical precondition for safe and effective integration into national systems.</w:t>
      </w:r>
    </w:p>
    <w:p w14:paraId="4A05684B" w14:textId="77777777" w:rsidR="00D025A0" w:rsidRPr="008C5535" w:rsidRDefault="00D025A0" w:rsidP="00771165">
      <w:pPr>
        <w:rPr>
          <w:rFonts w:ascii="Aptos" w:hAnsi="Aptos"/>
          <w:lang w:val="en-GB"/>
        </w:rPr>
      </w:pPr>
    </w:p>
    <w:p w14:paraId="4B748E10" w14:textId="63097BE4" w:rsidR="00D025A0" w:rsidRPr="00771165" w:rsidRDefault="00D025A0" w:rsidP="00771165">
      <w:pPr>
        <w:rPr>
          <w:rFonts w:ascii="Aptos" w:hAnsi="Aptos"/>
          <w:b/>
          <w:bCs/>
          <w:lang w:val="en-GB"/>
        </w:rPr>
      </w:pPr>
      <w:r w:rsidRPr="008C5535">
        <w:rPr>
          <w:rFonts w:ascii="Aptos" w:hAnsi="Aptos"/>
          <w:b/>
          <w:bCs/>
          <w:highlight w:val="yellow"/>
          <w:lang w:val="en-GB"/>
        </w:rPr>
        <w:t>More information to be included.</w:t>
      </w:r>
      <w:r w:rsidRPr="008C5535">
        <w:rPr>
          <w:rFonts w:ascii="Aptos" w:hAnsi="Aptos"/>
          <w:b/>
          <w:bCs/>
          <w:lang w:val="en-GB"/>
        </w:rPr>
        <w:t xml:space="preserve"> </w:t>
      </w:r>
    </w:p>
    <w:p w14:paraId="30348A82" w14:textId="044386B4" w:rsidR="00771165" w:rsidRPr="00771165" w:rsidRDefault="00771165" w:rsidP="00771165">
      <w:pPr>
        <w:rPr>
          <w:rFonts w:ascii="Aptos" w:hAnsi="Aptos"/>
          <w:lang w:val="en-GB"/>
        </w:rPr>
      </w:pPr>
    </w:p>
    <w:p w14:paraId="6AB259EB" w14:textId="77777777" w:rsidR="00771165" w:rsidRPr="00771165" w:rsidRDefault="00771165" w:rsidP="00771165">
      <w:pPr>
        <w:rPr>
          <w:rFonts w:ascii="Aptos" w:hAnsi="Aptos"/>
          <w:b/>
          <w:bCs/>
          <w:lang w:val="en-GB"/>
        </w:rPr>
      </w:pPr>
      <w:r w:rsidRPr="00771165">
        <w:rPr>
          <w:rFonts w:ascii="Aptos" w:hAnsi="Aptos"/>
          <w:b/>
          <w:bCs/>
          <w:lang w:val="en-GB"/>
        </w:rPr>
        <w:t>2. Regulatory Evolution and Compliance Timeline</w:t>
      </w:r>
    </w:p>
    <w:p w14:paraId="57306B27" w14:textId="77777777" w:rsidR="00771165" w:rsidRPr="00771165" w:rsidRDefault="00771165" w:rsidP="00771165">
      <w:pPr>
        <w:rPr>
          <w:rFonts w:ascii="Aptos" w:hAnsi="Aptos"/>
          <w:lang w:val="en-GB"/>
        </w:rPr>
      </w:pPr>
      <w:r w:rsidRPr="00771165">
        <w:rPr>
          <w:rFonts w:ascii="Aptos" w:hAnsi="Aptos"/>
          <w:lang w:val="en-GB"/>
        </w:rPr>
        <w:t>SSEG regulation formally accelerated in 2023 following South Africa’s worst year of load shedding. Eskom’s February 2025 clarification confirmed that all grid-tied solar systems, including those not feeding power into the grid, must register with Eskom or their local municipality.</w:t>
      </w:r>
    </w:p>
    <w:p w14:paraId="778BAEC0" w14:textId="77777777" w:rsidR="00771165" w:rsidRPr="00771165" w:rsidRDefault="00771165" w:rsidP="00771165">
      <w:pPr>
        <w:rPr>
          <w:rFonts w:ascii="Aptos" w:hAnsi="Aptos"/>
          <w:lang w:val="en-GB"/>
        </w:rPr>
      </w:pPr>
      <w:r w:rsidRPr="00771165">
        <w:rPr>
          <w:rFonts w:ascii="Aptos" w:hAnsi="Aptos"/>
          <w:b/>
          <w:bCs/>
          <w:lang w:val="en-GB"/>
        </w:rPr>
        <w:t>Compliance Deadline: March 2026</w:t>
      </w:r>
    </w:p>
    <w:p w14:paraId="44BBF80E" w14:textId="77777777" w:rsidR="00771165" w:rsidRPr="00771165" w:rsidRDefault="00771165" w:rsidP="00771165">
      <w:pPr>
        <w:numPr>
          <w:ilvl w:val="0"/>
          <w:numId w:val="3"/>
        </w:numPr>
        <w:rPr>
          <w:rFonts w:ascii="Aptos" w:hAnsi="Aptos"/>
          <w:lang w:val="en-GB"/>
        </w:rPr>
      </w:pPr>
      <w:r w:rsidRPr="00771165">
        <w:rPr>
          <w:rFonts w:ascii="Aptos" w:hAnsi="Aptos"/>
          <w:lang w:val="en-GB"/>
        </w:rPr>
        <w:t>Applies to all systems up to 50kVA</w:t>
      </w:r>
    </w:p>
    <w:p w14:paraId="7A28181C" w14:textId="77777777" w:rsidR="00771165" w:rsidRPr="008C5535" w:rsidRDefault="00771165" w:rsidP="00771165">
      <w:pPr>
        <w:numPr>
          <w:ilvl w:val="0"/>
          <w:numId w:val="3"/>
        </w:numPr>
        <w:rPr>
          <w:rFonts w:ascii="Aptos" w:hAnsi="Aptos"/>
          <w:lang w:val="en-GB"/>
        </w:rPr>
      </w:pPr>
      <w:r w:rsidRPr="00771165">
        <w:rPr>
          <w:rFonts w:ascii="Aptos" w:hAnsi="Aptos"/>
          <w:lang w:val="en-GB"/>
        </w:rPr>
        <w:t>Penalties for non-registration may include fines, disconnection, or denied access to future incentives</w:t>
      </w:r>
    </w:p>
    <w:p w14:paraId="7D5B558E" w14:textId="77777777" w:rsidR="00D025A0" w:rsidRPr="008C5535" w:rsidRDefault="00D025A0" w:rsidP="00D025A0">
      <w:pPr>
        <w:rPr>
          <w:rFonts w:ascii="Aptos" w:hAnsi="Aptos"/>
          <w:lang w:val="en-GB"/>
        </w:rPr>
      </w:pPr>
    </w:p>
    <w:p w14:paraId="31367EFA" w14:textId="77777777" w:rsidR="00D025A0" w:rsidRPr="00771165" w:rsidRDefault="00D025A0" w:rsidP="00D025A0">
      <w:pPr>
        <w:rPr>
          <w:rFonts w:ascii="Aptos" w:hAnsi="Aptos"/>
          <w:b/>
          <w:bCs/>
          <w:lang w:val="en-GB"/>
        </w:rPr>
      </w:pPr>
      <w:r w:rsidRPr="008C5535">
        <w:rPr>
          <w:rFonts w:ascii="Aptos" w:hAnsi="Aptos"/>
          <w:b/>
          <w:bCs/>
          <w:highlight w:val="yellow"/>
          <w:lang w:val="en-GB"/>
        </w:rPr>
        <w:t>More information to be included.</w:t>
      </w:r>
      <w:r w:rsidRPr="008C5535">
        <w:rPr>
          <w:rFonts w:ascii="Aptos" w:hAnsi="Aptos"/>
          <w:b/>
          <w:bCs/>
          <w:lang w:val="en-GB"/>
        </w:rPr>
        <w:t xml:space="preserve"> </w:t>
      </w:r>
    </w:p>
    <w:p w14:paraId="7F09ACC8" w14:textId="77777777" w:rsidR="00D025A0" w:rsidRPr="00771165" w:rsidRDefault="00D025A0" w:rsidP="00D025A0">
      <w:pPr>
        <w:rPr>
          <w:rFonts w:ascii="Aptos" w:hAnsi="Aptos"/>
          <w:lang w:val="en-GB"/>
        </w:rPr>
      </w:pPr>
    </w:p>
    <w:p w14:paraId="6F31E101" w14:textId="682C3D96" w:rsidR="00771165" w:rsidRPr="00771165" w:rsidRDefault="00771165" w:rsidP="00771165">
      <w:pPr>
        <w:rPr>
          <w:rFonts w:ascii="Aptos" w:hAnsi="Aptos"/>
          <w:lang w:val="en-GB"/>
        </w:rPr>
      </w:pPr>
    </w:p>
    <w:p w14:paraId="6791E6B6" w14:textId="77777777" w:rsidR="00771165" w:rsidRPr="00771165" w:rsidRDefault="00771165" w:rsidP="00771165">
      <w:pPr>
        <w:rPr>
          <w:rFonts w:ascii="Aptos" w:hAnsi="Aptos"/>
          <w:b/>
          <w:bCs/>
          <w:lang w:val="en-GB"/>
        </w:rPr>
      </w:pPr>
      <w:r w:rsidRPr="00771165">
        <w:rPr>
          <w:rFonts w:ascii="Aptos" w:hAnsi="Aptos"/>
          <w:b/>
          <w:bCs/>
          <w:lang w:val="en-GB"/>
        </w:rPr>
        <w:lastRenderedPageBreak/>
        <w:t>3. Case Studies: How SSEG Registration Works in Practice</w:t>
      </w:r>
    </w:p>
    <w:p w14:paraId="634CBDFD" w14:textId="77777777" w:rsidR="00771165" w:rsidRPr="00771165" w:rsidRDefault="00771165" w:rsidP="00771165">
      <w:pPr>
        <w:rPr>
          <w:rFonts w:ascii="Aptos" w:hAnsi="Aptos"/>
          <w:b/>
          <w:bCs/>
          <w:lang w:val="en-GB"/>
        </w:rPr>
      </w:pPr>
      <w:r w:rsidRPr="00771165">
        <w:rPr>
          <w:rFonts w:ascii="Aptos" w:hAnsi="Aptos"/>
          <w:b/>
          <w:bCs/>
          <w:lang w:val="en-GB"/>
        </w:rPr>
        <w:t>City of Cape Town: A Model of Efficiency</w:t>
      </w:r>
    </w:p>
    <w:p w14:paraId="12218601" w14:textId="77777777" w:rsidR="00771165" w:rsidRPr="00771165" w:rsidRDefault="00771165" w:rsidP="00771165">
      <w:pPr>
        <w:numPr>
          <w:ilvl w:val="0"/>
          <w:numId w:val="4"/>
        </w:numPr>
        <w:rPr>
          <w:rFonts w:ascii="Aptos" w:hAnsi="Aptos"/>
          <w:lang w:val="en-GB"/>
        </w:rPr>
      </w:pPr>
      <w:r w:rsidRPr="00771165">
        <w:rPr>
          <w:rFonts w:ascii="Aptos" w:hAnsi="Aptos"/>
          <w:lang w:val="en-GB"/>
        </w:rPr>
        <w:t>Fully online application portal</w:t>
      </w:r>
    </w:p>
    <w:p w14:paraId="2B1E87D7" w14:textId="77777777" w:rsidR="00771165" w:rsidRPr="00771165" w:rsidRDefault="00771165" w:rsidP="00771165">
      <w:pPr>
        <w:numPr>
          <w:ilvl w:val="0"/>
          <w:numId w:val="4"/>
        </w:numPr>
        <w:rPr>
          <w:rFonts w:ascii="Aptos" w:hAnsi="Aptos"/>
          <w:lang w:val="en-GB"/>
        </w:rPr>
      </w:pPr>
      <w:r w:rsidRPr="00771165">
        <w:rPr>
          <w:rFonts w:ascii="Aptos" w:hAnsi="Aptos"/>
          <w:lang w:val="en-GB"/>
        </w:rPr>
        <w:t>Digital proxy generation and instant approval-to-install</w:t>
      </w:r>
    </w:p>
    <w:p w14:paraId="4D4E14C7" w14:textId="77777777" w:rsidR="00771165" w:rsidRPr="00771165" w:rsidRDefault="00771165" w:rsidP="00771165">
      <w:pPr>
        <w:numPr>
          <w:ilvl w:val="0"/>
          <w:numId w:val="4"/>
        </w:numPr>
        <w:rPr>
          <w:rFonts w:ascii="Aptos" w:hAnsi="Aptos"/>
          <w:lang w:val="en-GB"/>
        </w:rPr>
      </w:pPr>
      <w:r w:rsidRPr="00771165">
        <w:rPr>
          <w:rFonts w:ascii="Aptos" w:hAnsi="Aptos"/>
          <w:lang w:val="en-GB"/>
        </w:rPr>
        <w:t>Entire process completed in </w:t>
      </w:r>
      <w:r w:rsidRPr="00771165">
        <w:rPr>
          <w:rFonts w:ascii="Aptos" w:hAnsi="Aptos"/>
          <w:b/>
          <w:bCs/>
          <w:lang w:val="en-GB"/>
        </w:rPr>
        <w:t>2–3 weeks</w:t>
      </w:r>
    </w:p>
    <w:p w14:paraId="477FEFAF" w14:textId="77777777" w:rsidR="00771165" w:rsidRPr="00771165" w:rsidRDefault="00771165" w:rsidP="00771165">
      <w:pPr>
        <w:rPr>
          <w:rFonts w:ascii="Aptos" w:hAnsi="Aptos"/>
          <w:lang w:val="en-GB"/>
        </w:rPr>
      </w:pPr>
      <w:r w:rsidRPr="00771165">
        <w:rPr>
          <w:rFonts w:ascii="Aptos" w:hAnsi="Aptos"/>
          <w:b/>
          <w:bCs/>
          <w:lang w:val="en-GB"/>
        </w:rPr>
        <w:t>Impact:</w:t>
      </w:r>
      <w:r w:rsidRPr="00771165">
        <w:rPr>
          <w:rFonts w:ascii="Aptos" w:hAnsi="Aptos"/>
          <w:lang w:val="en-GB"/>
        </w:rPr>
        <w:t> Sets a benchmark for municipalities nationwide. Reduced paperwork and quick turnaround have enabled widespread adoption without delay.</w:t>
      </w:r>
    </w:p>
    <w:p w14:paraId="121ADACD" w14:textId="77777777" w:rsidR="00771165" w:rsidRPr="00771165" w:rsidRDefault="00771165" w:rsidP="00771165">
      <w:pPr>
        <w:rPr>
          <w:rFonts w:ascii="Aptos" w:hAnsi="Aptos"/>
          <w:b/>
          <w:bCs/>
          <w:lang w:val="en-GB"/>
        </w:rPr>
      </w:pPr>
      <w:r w:rsidRPr="00771165">
        <w:rPr>
          <w:rFonts w:ascii="Aptos" w:hAnsi="Aptos"/>
          <w:b/>
          <w:bCs/>
          <w:lang w:val="en-GB"/>
        </w:rPr>
        <w:t>City of Tshwane: Digital Presence, Slow Execution</w:t>
      </w:r>
    </w:p>
    <w:p w14:paraId="2B48B63A" w14:textId="77777777" w:rsidR="00771165" w:rsidRPr="00771165" w:rsidRDefault="00771165" w:rsidP="00771165">
      <w:pPr>
        <w:numPr>
          <w:ilvl w:val="0"/>
          <w:numId w:val="5"/>
        </w:numPr>
        <w:rPr>
          <w:rFonts w:ascii="Aptos" w:hAnsi="Aptos"/>
          <w:lang w:val="en-GB"/>
        </w:rPr>
      </w:pPr>
      <w:r w:rsidRPr="00771165">
        <w:rPr>
          <w:rFonts w:ascii="Aptos" w:hAnsi="Aptos"/>
          <w:lang w:val="en-GB"/>
        </w:rPr>
        <w:t>Online portal exists</w:t>
      </w:r>
    </w:p>
    <w:p w14:paraId="1F839B0D" w14:textId="77777777" w:rsidR="00771165" w:rsidRPr="00771165" w:rsidRDefault="00771165" w:rsidP="00771165">
      <w:pPr>
        <w:numPr>
          <w:ilvl w:val="0"/>
          <w:numId w:val="5"/>
        </w:numPr>
        <w:rPr>
          <w:rFonts w:ascii="Aptos" w:hAnsi="Aptos"/>
          <w:lang w:val="en-GB"/>
        </w:rPr>
      </w:pPr>
      <w:r w:rsidRPr="00771165">
        <w:rPr>
          <w:rFonts w:ascii="Aptos" w:hAnsi="Aptos"/>
          <w:lang w:val="en-GB"/>
        </w:rPr>
        <w:t>Delayed confirmations and limited support channels</w:t>
      </w:r>
    </w:p>
    <w:p w14:paraId="16DFFC3F" w14:textId="77777777" w:rsidR="00771165" w:rsidRPr="00771165" w:rsidRDefault="00771165" w:rsidP="00771165">
      <w:pPr>
        <w:numPr>
          <w:ilvl w:val="0"/>
          <w:numId w:val="5"/>
        </w:numPr>
        <w:rPr>
          <w:rFonts w:ascii="Aptos" w:hAnsi="Aptos"/>
          <w:lang w:val="en-GB"/>
        </w:rPr>
      </w:pPr>
      <w:r w:rsidRPr="00771165">
        <w:rPr>
          <w:rFonts w:ascii="Aptos" w:hAnsi="Aptos"/>
          <w:lang w:val="en-GB"/>
        </w:rPr>
        <w:t>Inconsistent tracking post-submission</w:t>
      </w:r>
    </w:p>
    <w:p w14:paraId="29DCAB0B" w14:textId="77777777" w:rsidR="00771165" w:rsidRPr="00771165" w:rsidRDefault="00771165" w:rsidP="00771165">
      <w:pPr>
        <w:rPr>
          <w:rFonts w:ascii="Aptos" w:hAnsi="Aptos"/>
          <w:lang w:val="en-GB"/>
        </w:rPr>
      </w:pPr>
      <w:r w:rsidRPr="00771165">
        <w:rPr>
          <w:rFonts w:ascii="Aptos" w:hAnsi="Aptos"/>
          <w:b/>
          <w:bCs/>
          <w:lang w:val="en-GB"/>
        </w:rPr>
        <w:t>Impact:</w:t>
      </w:r>
      <w:r w:rsidRPr="00771165">
        <w:rPr>
          <w:rFonts w:ascii="Aptos" w:hAnsi="Aptos"/>
          <w:lang w:val="en-GB"/>
        </w:rPr>
        <w:t> Despite digital tools, lack of resourcing causes delays and uncertainty.</w:t>
      </w:r>
    </w:p>
    <w:p w14:paraId="119A9AA4" w14:textId="77777777" w:rsidR="00771165" w:rsidRPr="00771165" w:rsidRDefault="00771165" w:rsidP="00771165">
      <w:pPr>
        <w:rPr>
          <w:rFonts w:ascii="Aptos" w:hAnsi="Aptos"/>
          <w:b/>
          <w:bCs/>
          <w:lang w:val="en-GB"/>
        </w:rPr>
      </w:pPr>
      <w:proofErr w:type="spellStart"/>
      <w:r w:rsidRPr="00771165">
        <w:rPr>
          <w:rFonts w:ascii="Aptos" w:hAnsi="Aptos"/>
          <w:b/>
          <w:bCs/>
          <w:lang w:val="en-GB"/>
        </w:rPr>
        <w:t>Theewaterskloof</w:t>
      </w:r>
      <w:proofErr w:type="spellEnd"/>
      <w:r w:rsidRPr="00771165">
        <w:rPr>
          <w:rFonts w:ascii="Aptos" w:hAnsi="Aptos"/>
          <w:b/>
          <w:bCs/>
          <w:lang w:val="en-GB"/>
        </w:rPr>
        <w:t xml:space="preserve"> Municipality: Manual, Costly, and Opaque</w:t>
      </w:r>
    </w:p>
    <w:p w14:paraId="732B50A7" w14:textId="77777777" w:rsidR="00771165" w:rsidRPr="00771165" w:rsidRDefault="00771165" w:rsidP="00771165">
      <w:pPr>
        <w:numPr>
          <w:ilvl w:val="0"/>
          <w:numId w:val="6"/>
        </w:numPr>
        <w:rPr>
          <w:rFonts w:ascii="Aptos" w:hAnsi="Aptos"/>
          <w:lang w:val="en-GB"/>
        </w:rPr>
      </w:pPr>
      <w:r w:rsidRPr="00771165">
        <w:rPr>
          <w:rFonts w:ascii="Aptos" w:hAnsi="Aptos"/>
          <w:lang w:val="en-GB"/>
        </w:rPr>
        <w:t>Paper-based forms</w:t>
      </w:r>
    </w:p>
    <w:p w14:paraId="5FC21705" w14:textId="77777777" w:rsidR="00771165" w:rsidRPr="00771165" w:rsidRDefault="00771165" w:rsidP="00771165">
      <w:pPr>
        <w:numPr>
          <w:ilvl w:val="0"/>
          <w:numId w:val="6"/>
        </w:numPr>
        <w:rPr>
          <w:rFonts w:ascii="Aptos" w:hAnsi="Aptos"/>
          <w:lang w:val="en-GB"/>
        </w:rPr>
      </w:pPr>
      <w:r w:rsidRPr="00771165">
        <w:rPr>
          <w:rFonts w:ascii="Aptos" w:hAnsi="Aptos"/>
          <w:lang w:val="en-GB"/>
        </w:rPr>
        <w:t>Application fee: R1,600</w:t>
      </w:r>
    </w:p>
    <w:p w14:paraId="33F9FA80" w14:textId="77777777" w:rsidR="00771165" w:rsidRPr="00771165" w:rsidRDefault="00771165" w:rsidP="00771165">
      <w:pPr>
        <w:numPr>
          <w:ilvl w:val="0"/>
          <w:numId w:val="6"/>
        </w:numPr>
        <w:rPr>
          <w:rFonts w:ascii="Aptos" w:hAnsi="Aptos"/>
          <w:lang w:val="en-GB"/>
        </w:rPr>
      </w:pPr>
      <w:r w:rsidRPr="00771165">
        <w:rPr>
          <w:rFonts w:ascii="Aptos" w:hAnsi="Aptos"/>
          <w:lang w:val="en-GB"/>
        </w:rPr>
        <w:t>Inspection fee: R800</w:t>
      </w:r>
    </w:p>
    <w:p w14:paraId="180BD89E" w14:textId="77777777" w:rsidR="00771165" w:rsidRPr="00771165" w:rsidRDefault="00771165" w:rsidP="00771165">
      <w:pPr>
        <w:numPr>
          <w:ilvl w:val="0"/>
          <w:numId w:val="6"/>
        </w:numPr>
        <w:rPr>
          <w:rFonts w:ascii="Aptos" w:hAnsi="Aptos"/>
          <w:lang w:val="en-GB"/>
        </w:rPr>
      </w:pPr>
      <w:r w:rsidRPr="00771165">
        <w:rPr>
          <w:rFonts w:ascii="Aptos" w:hAnsi="Aptos"/>
          <w:lang w:val="en-GB"/>
        </w:rPr>
        <w:t>Additional unadvertised charges post-approval (e.g., R2,828)</w:t>
      </w:r>
    </w:p>
    <w:p w14:paraId="1981F041" w14:textId="77777777" w:rsidR="00771165" w:rsidRPr="00771165" w:rsidRDefault="00771165" w:rsidP="00771165">
      <w:pPr>
        <w:rPr>
          <w:rFonts w:ascii="Aptos" w:hAnsi="Aptos"/>
          <w:lang w:val="en-GB"/>
        </w:rPr>
      </w:pPr>
      <w:r w:rsidRPr="00771165">
        <w:rPr>
          <w:rFonts w:ascii="Aptos" w:hAnsi="Aptos"/>
          <w:b/>
          <w:bCs/>
          <w:lang w:val="en-GB"/>
        </w:rPr>
        <w:t>Impact:</w:t>
      </w:r>
      <w:r w:rsidRPr="00771165">
        <w:rPr>
          <w:rFonts w:ascii="Aptos" w:hAnsi="Aptos"/>
          <w:lang w:val="en-GB"/>
        </w:rPr>
        <w:t> Disincentivizes compliance due to surprise costs and poor transparency. Slows transition in rural and semi-urban areas.</w:t>
      </w:r>
    </w:p>
    <w:p w14:paraId="28EAB2B3" w14:textId="77777777" w:rsidR="00771165" w:rsidRPr="008C5535" w:rsidRDefault="00771165" w:rsidP="00771165">
      <w:pPr>
        <w:rPr>
          <w:rFonts w:ascii="Aptos" w:hAnsi="Aptos"/>
          <w:b/>
          <w:bCs/>
          <w:lang w:val="en-GB"/>
        </w:rPr>
      </w:pPr>
      <w:r w:rsidRPr="00771165">
        <w:rPr>
          <w:rFonts w:ascii="Aptos" w:hAnsi="Aptos"/>
          <w:b/>
          <w:bCs/>
          <w:highlight w:val="yellow"/>
          <w:lang w:val="en-GB"/>
        </w:rPr>
        <w:t>[Insert bar chart: Comparative SSEG Registration Timeframes by Municipality]</w:t>
      </w:r>
    </w:p>
    <w:p w14:paraId="512290D9" w14:textId="77777777" w:rsidR="00D025A0" w:rsidRPr="008C5535" w:rsidRDefault="00D025A0" w:rsidP="00771165">
      <w:pPr>
        <w:rPr>
          <w:rFonts w:ascii="Aptos" w:hAnsi="Aptos"/>
          <w:b/>
          <w:bCs/>
          <w:lang w:val="en-GB"/>
        </w:rPr>
      </w:pPr>
    </w:p>
    <w:p w14:paraId="620CFD0B" w14:textId="77777777" w:rsidR="00D025A0" w:rsidRPr="00771165" w:rsidRDefault="00D025A0" w:rsidP="00D025A0">
      <w:pPr>
        <w:rPr>
          <w:rFonts w:ascii="Aptos" w:hAnsi="Aptos"/>
          <w:b/>
          <w:bCs/>
          <w:lang w:val="en-GB"/>
        </w:rPr>
      </w:pPr>
      <w:r w:rsidRPr="008C5535">
        <w:rPr>
          <w:rFonts w:ascii="Aptos" w:hAnsi="Aptos"/>
          <w:b/>
          <w:bCs/>
          <w:highlight w:val="yellow"/>
          <w:lang w:val="en-GB"/>
        </w:rPr>
        <w:t>More information to be included.</w:t>
      </w:r>
      <w:r w:rsidRPr="008C5535">
        <w:rPr>
          <w:rFonts w:ascii="Aptos" w:hAnsi="Aptos"/>
          <w:b/>
          <w:bCs/>
          <w:lang w:val="en-GB"/>
        </w:rPr>
        <w:t xml:space="preserve"> </w:t>
      </w:r>
    </w:p>
    <w:p w14:paraId="5F1FCD1F" w14:textId="77777777" w:rsidR="00D025A0" w:rsidRPr="00771165" w:rsidRDefault="00D025A0" w:rsidP="00771165">
      <w:pPr>
        <w:rPr>
          <w:rFonts w:ascii="Aptos" w:hAnsi="Aptos"/>
          <w:lang w:val="en-GB"/>
        </w:rPr>
      </w:pPr>
    </w:p>
    <w:p w14:paraId="4ED642A3" w14:textId="245B933C" w:rsidR="00771165" w:rsidRPr="00771165" w:rsidRDefault="00771165" w:rsidP="00771165">
      <w:pPr>
        <w:rPr>
          <w:rFonts w:ascii="Aptos" w:hAnsi="Aptos"/>
          <w:lang w:val="en-GB"/>
        </w:rPr>
      </w:pPr>
    </w:p>
    <w:p w14:paraId="0CC7373E" w14:textId="77777777" w:rsidR="00771165" w:rsidRPr="00771165" w:rsidRDefault="00771165" w:rsidP="00771165">
      <w:pPr>
        <w:rPr>
          <w:rFonts w:ascii="Aptos" w:hAnsi="Aptos"/>
          <w:b/>
          <w:bCs/>
          <w:lang w:val="en-GB"/>
        </w:rPr>
      </w:pPr>
      <w:r w:rsidRPr="00771165">
        <w:rPr>
          <w:rFonts w:ascii="Aptos" w:hAnsi="Aptos"/>
          <w:b/>
          <w:bCs/>
          <w:lang w:val="en-GB"/>
        </w:rPr>
        <w:t>4. Cost Implications for Solar Users</w:t>
      </w:r>
    </w:p>
    <w:p w14:paraId="519EF8B3" w14:textId="77777777" w:rsidR="00771165" w:rsidRPr="00771165" w:rsidRDefault="00771165" w:rsidP="00771165">
      <w:pPr>
        <w:rPr>
          <w:rFonts w:ascii="Aptos" w:hAnsi="Aptos"/>
          <w:b/>
          <w:bCs/>
          <w:lang w:val="en-GB"/>
        </w:rPr>
      </w:pPr>
      <w:r w:rsidRPr="00771165">
        <w:rPr>
          <w:rFonts w:ascii="Aptos" w:hAnsi="Aptos"/>
          <w:b/>
          <w:bCs/>
          <w:lang w:val="en-GB"/>
        </w:rPr>
        <w:t>Eskom Customers:</w:t>
      </w:r>
    </w:p>
    <w:p w14:paraId="5AB7C730" w14:textId="77777777" w:rsidR="00771165" w:rsidRPr="00771165" w:rsidRDefault="00771165" w:rsidP="00771165">
      <w:pPr>
        <w:numPr>
          <w:ilvl w:val="0"/>
          <w:numId w:val="7"/>
        </w:numPr>
        <w:rPr>
          <w:rFonts w:ascii="Aptos" w:hAnsi="Aptos"/>
          <w:lang w:val="en-GB"/>
        </w:rPr>
      </w:pPr>
      <w:r w:rsidRPr="00771165">
        <w:rPr>
          <w:rFonts w:ascii="Aptos" w:hAnsi="Aptos"/>
          <w:lang w:val="en-GB"/>
        </w:rPr>
        <w:t>Registration fees waived until March 2026 (for systems &lt;50kVA)</w:t>
      </w:r>
    </w:p>
    <w:p w14:paraId="5761664F" w14:textId="77777777" w:rsidR="00771165" w:rsidRPr="00771165" w:rsidRDefault="00771165" w:rsidP="00771165">
      <w:pPr>
        <w:numPr>
          <w:ilvl w:val="0"/>
          <w:numId w:val="7"/>
        </w:numPr>
        <w:rPr>
          <w:rFonts w:ascii="Aptos" w:hAnsi="Aptos"/>
          <w:lang w:val="en-GB"/>
        </w:rPr>
      </w:pPr>
      <w:r w:rsidRPr="00771165">
        <w:rPr>
          <w:rFonts w:ascii="Aptos" w:hAnsi="Aptos"/>
          <w:lang w:val="en-GB"/>
        </w:rPr>
        <w:t>No current inspection fees</w:t>
      </w:r>
    </w:p>
    <w:p w14:paraId="4E9ED7CA" w14:textId="77777777" w:rsidR="00771165" w:rsidRPr="00771165" w:rsidRDefault="00771165" w:rsidP="00771165">
      <w:pPr>
        <w:rPr>
          <w:rFonts w:ascii="Aptos" w:hAnsi="Aptos"/>
          <w:b/>
          <w:bCs/>
          <w:lang w:val="en-GB"/>
        </w:rPr>
      </w:pPr>
      <w:r w:rsidRPr="00771165">
        <w:rPr>
          <w:rFonts w:ascii="Aptos" w:hAnsi="Aptos"/>
          <w:b/>
          <w:bCs/>
          <w:lang w:val="en-GB"/>
        </w:rPr>
        <w:t>Municipal Customers:</w:t>
      </w:r>
    </w:p>
    <w:p w14:paraId="3EC93A39" w14:textId="77777777" w:rsidR="00771165" w:rsidRPr="00771165" w:rsidRDefault="00771165" w:rsidP="00771165">
      <w:pPr>
        <w:numPr>
          <w:ilvl w:val="0"/>
          <w:numId w:val="8"/>
        </w:numPr>
        <w:rPr>
          <w:rFonts w:ascii="Aptos" w:hAnsi="Aptos"/>
          <w:lang w:val="en-GB"/>
        </w:rPr>
      </w:pPr>
      <w:r w:rsidRPr="00771165">
        <w:rPr>
          <w:rFonts w:ascii="Aptos" w:hAnsi="Aptos"/>
          <w:lang w:val="en-GB"/>
        </w:rPr>
        <w:t>Highly variable</w:t>
      </w:r>
    </w:p>
    <w:p w14:paraId="48CB6E61" w14:textId="77777777" w:rsidR="00771165" w:rsidRPr="00771165" w:rsidRDefault="00771165" w:rsidP="00771165">
      <w:pPr>
        <w:numPr>
          <w:ilvl w:val="0"/>
          <w:numId w:val="8"/>
        </w:numPr>
        <w:rPr>
          <w:rFonts w:ascii="Aptos" w:hAnsi="Aptos"/>
          <w:lang w:val="en-GB"/>
        </w:rPr>
      </w:pPr>
      <w:r w:rsidRPr="00771165">
        <w:rPr>
          <w:rFonts w:ascii="Aptos" w:hAnsi="Aptos"/>
          <w:lang w:val="en-GB"/>
        </w:rPr>
        <w:t>Ranges from R0 to R3,000+</w:t>
      </w:r>
    </w:p>
    <w:p w14:paraId="3F5658A1" w14:textId="77777777" w:rsidR="00771165" w:rsidRPr="00771165" w:rsidRDefault="00771165" w:rsidP="00771165">
      <w:pPr>
        <w:numPr>
          <w:ilvl w:val="0"/>
          <w:numId w:val="8"/>
        </w:numPr>
        <w:rPr>
          <w:rFonts w:ascii="Aptos" w:hAnsi="Aptos"/>
          <w:lang w:val="en-GB"/>
        </w:rPr>
      </w:pPr>
      <w:r w:rsidRPr="00771165">
        <w:rPr>
          <w:rFonts w:ascii="Aptos" w:hAnsi="Aptos"/>
          <w:lang w:val="en-GB"/>
        </w:rPr>
        <w:t>Lack of consistency leads to confusion and uneven adoption</w:t>
      </w:r>
    </w:p>
    <w:p w14:paraId="6E92E6B6" w14:textId="77777777" w:rsidR="00771165" w:rsidRPr="00771165" w:rsidRDefault="00771165" w:rsidP="00771165">
      <w:pPr>
        <w:rPr>
          <w:rFonts w:ascii="Aptos" w:hAnsi="Aptos"/>
          <w:lang w:val="en-GB"/>
        </w:rPr>
      </w:pPr>
      <w:r w:rsidRPr="00771165">
        <w:rPr>
          <w:rFonts w:ascii="Aptos" w:hAnsi="Aptos"/>
          <w:b/>
          <w:bCs/>
          <w:highlight w:val="yellow"/>
          <w:lang w:val="en-GB"/>
        </w:rPr>
        <w:t>[Insert pie chart: Distribution of Common Municipal SSEG Costs]</w:t>
      </w:r>
    </w:p>
    <w:p w14:paraId="14A9C63C" w14:textId="788F1668" w:rsidR="00771165" w:rsidRPr="008C5535" w:rsidRDefault="00771165" w:rsidP="00771165">
      <w:pPr>
        <w:rPr>
          <w:rFonts w:ascii="Aptos" w:hAnsi="Aptos"/>
          <w:lang w:val="en-GB"/>
        </w:rPr>
      </w:pPr>
    </w:p>
    <w:p w14:paraId="715D117D" w14:textId="77777777" w:rsidR="00D025A0" w:rsidRPr="00771165" w:rsidRDefault="00D025A0" w:rsidP="00D025A0">
      <w:pPr>
        <w:rPr>
          <w:rFonts w:ascii="Aptos" w:hAnsi="Aptos"/>
          <w:b/>
          <w:bCs/>
          <w:lang w:val="en-GB"/>
        </w:rPr>
      </w:pPr>
      <w:r w:rsidRPr="008C5535">
        <w:rPr>
          <w:rFonts w:ascii="Aptos" w:hAnsi="Aptos"/>
          <w:b/>
          <w:bCs/>
          <w:highlight w:val="yellow"/>
          <w:lang w:val="en-GB"/>
        </w:rPr>
        <w:t>More information to be included.</w:t>
      </w:r>
      <w:r w:rsidRPr="008C5535">
        <w:rPr>
          <w:rFonts w:ascii="Aptos" w:hAnsi="Aptos"/>
          <w:b/>
          <w:bCs/>
          <w:lang w:val="en-GB"/>
        </w:rPr>
        <w:t xml:space="preserve"> </w:t>
      </w:r>
    </w:p>
    <w:p w14:paraId="70BBD812" w14:textId="77777777" w:rsidR="00D025A0" w:rsidRPr="00771165" w:rsidRDefault="00D025A0" w:rsidP="00771165">
      <w:pPr>
        <w:rPr>
          <w:rFonts w:ascii="Aptos" w:hAnsi="Aptos"/>
          <w:lang w:val="en-GB"/>
        </w:rPr>
      </w:pPr>
    </w:p>
    <w:p w14:paraId="5026B7D9" w14:textId="77777777" w:rsidR="00771165" w:rsidRPr="00771165" w:rsidRDefault="00771165" w:rsidP="00771165">
      <w:pPr>
        <w:rPr>
          <w:rFonts w:ascii="Aptos" w:hAnsi="Aptos"/>
          <w:b/>
          <w:bCs/>
          <w:lang w:val="en-GB"/>
        </w:rPr>
      </w:pPr>
      <w:r w:rsidRPr="00771165">
        <w:rPr>
          <w:rFonts w:ascii="Aptos" w:hAnsi="Aptos"/>
          <w:b/>
          <w:bCs/>
          <w:lang w:val="en-GB"/>
        </w:rPr>
        <w:t xml:space="preserve">5. Intersection with </w:t>
      </w:r>
      <w:proofErr w:type="spellStart"/>
      <w:r w:rsidRPr="00771165">
        <w:rPr>
          <w:rFonts w:ascii="Aptos" w:hAnsi="Aptos"/>
          <w:b/>
          <w:bCs/>
          <w:lang w:val="en-GB"/>
        </w:rPr>
        <w:t>Homeflex</w:t>
      </w:r>
      <w:proofErr w:type="spellEnd"/>
      <w:r w:rsidRPr="00771165">
        <w:rPr>
          <w:rFonts w:ascii="Aptos" w:hAnsi="Aptos"/>
          <w:b/>
          <w:bCs/>
          <w:lang w:val="en-GB"/>
        </w:rPr>
        <w:t xml:space="preserve"> Tariffs and Smart Energy Management</w:t>
      </w:r>
    </w:p>
    <w:p w14:paraId="7867E7AE" w14:textId="77777777" w:rsidR="00771165" w:rsidRPr="00771165" w:rsidRDefault="00771165" w:rsidP="00771165">
      <w:pPr>
        <w:rPr>
          <w:rFonts w:ascii="Aptos" w:hAnsi="Aptos"/>
          <w:lang w:val="en-GB"/>
        </w:rPr>
      </w:pPr>
      <w:r w:rsidRPr="00771165">
        <w:rPr>
          <w:rFonts w:ascii="Aptos" w:hAnsi="Aptos"/>
          <w:lang w:val="en-GB"/>
        </w:rPr>
        <w:t>Eskom has also mandated a shift to </w:t>
      </w:r>
      <w:proofErr w:type="spellStart"/>
      <w:r w:rsidRPr="00771165">
        <w:rPr>
          <w:rFonts w:ascii="Aptos" w:hAnsi="Aptos"/>
          <w:b/>
          <w:bCs/>
          <w:lang w:val="en-GB"/>
        </w:rPr>
        <w:t>Homeflex</w:t>
      </w:r>
      <w:proofErr w:type="spellEnd"/>
      <w:r w:rsidRPr="00771165">
        <w:rPr>
          <w:rFonts w:ascii="Aptos" w:hAnsi="Aptos"/>
          <w:lang w:val="en-GB"/>
        </w:rPr>
        <w:t> time-of-use tariffs for solar customers. This ties directly into SSEG registration and sets the stage for smart grid interaction.</w:t>
      </w:r>
    </w:p>
    <w:p w14:paraId="452FF4F9" w14:textId="77777777" w:rsidR="00771165" w:rsidRPr="00771165" w:rsidRDefault="00771165" w:rsidP="00771165">
      <w:pPr>
        <w:rPr>
          <w:rFonts w:ascii="Aptos" w:hAnsi="Aptos"/>
          <w:lang w:val="en-GB"/>
        </w:rPr>
      </w:pPr>
      <w:proofErr w:type="spellStart"/>
      <w:r w:rsidRPr="00771165">
        <w:rPr>
          <w:rFonts w:ascii="Aptos" w:hAnsi="Aptos"/>
          <w:b/>
          <w:bCs/>
          <w:lang w:val="en-GB"/>
        </w:rPr>
        <w:t>Homeflex</w:t>
      </w:r>
      <w:proofErr w:type="spellEnd"/>
      <w:r w:rsidRPr="00771165">
        <w:rPr>
          <w:rFonts w:ascii="Aptos" w:hAnsi="Aptos"/>
          <w:b/>
          <w:bCs/>
          <w:lang w:val="en-GB"/>
        </w:rPr>
        <w:t xml:space="preserve"> Tariff Breakdown:</w:t>
      </w:r>
    </w:p>
    <w:p w14:paraId="5BD5CA8C" w14:textId="77777777" w:rsidR="00771165" w:rsidRPr="00771165" w:rsidRDefault="00771165" w:rsidP="00771165">
      <w:pPr>
        <w:numPr>
          <w:ilvl w:val="0"/>
          <w:numId w:val="9"/>
        </w:numPr>
        <w:rPr>
          <w:rFonts w:ascii="Aptos" w:hAnsi="Aptos"/>
          <w:lang w:val="en-GB"/>
        </w:rPr>
      </w:pPr>
      <w:r w:rsidRPr="00771165">
        <w:rPr>
          <w:rFonts w:ascii="Aptos" w:hAnsi="Aptos"/>
          <w:b/>
          <w:bCs/>
          <w:lang w:val="en-GB"/>
        </w:rPr>
        <w:t>Peak:</w:t>
      </w:r>
      <w:r w:rsidRPr="00771165">
        <w:rPr>
          <w:rFonts w:ascii="Aptos" w:hAnsi="Aptos"/>
          <w:lang w:val="en-GB"/>
        </w:rPr>
        <w:t> High rates (mornings/evenings)</w:t>
      </w:r>
    </w:p>
    <w:p w14:paraId="33C851C0" w14:textId="77777777" w:rsidR="00771165" w:rsidRPr="00771165" w:rsidRDefault="00771165" w:rsidP="00771165">
      <w:pPr>
        <w:numPr>
          <w:ilvl w:val="0"/>
          <w:numId w:val="9"/>
        </w:numPr>
        <w:rPr>
          <w:rFonts w:ascii="Aptos" w:hAnsi="Aptos"/>
          <w:lang w:val="en-GB"/>
        </w:rPr>
      </w:pPr>
      <w:r w:rsidRPr="00771165">
        <w:rPr>
          <w:rFonts w:ascii="Aptos" w:hAnsi="Aptos"/>
          <w:b/>
          <w:bCs/>
          <w:lang w:val="en-GB"/>
        </w:rPr>
        <w:t>Standard:</w:t>
      </w:r>
      <w:r w:rsidRPr="00771165">
        <w:rPr>
          <w:rFonts w:ascii="Aptos" w:hAnsi="Aptos"/>
          <w:lang w:val="en-GB"/>
        </w:rPr>
        <w:t> Mid-range rates (daytime)</w:t>
      </w:r>
    </w:p>
    <w:p w14:paraId="26F4F404" w14:textId="77777777" w:rsidR="00771165" w:rsidRPr="00771165" w:rsidRDefault="00771165" w:rsidP="00771165">
      <w:pPr>
        <w:numPr>
          <w:ilvl w:val="0"/>
          <w:numId w:val="9"/>
        </w:numPr>
        <w:rPr>
          <w:rFonts w:ascii="Aptos" w:hAnsi="Aptos"/>
          <w:lang w:val="en-GB"/>
        </w:rPr>
      </w:pPr>
      <w:r w:rsidRPr="00771165">
        <w:rPr>
          <w:rFonts w:ascii="Aptos" w:hAnsi="Aptos"/>
          <w:b/>
          <w:bCs/>
          <w:lang w:val="en-GB"/>
        </w:rPr>
        <w:t>Off-Peak:</w:t>
      </w:r>
      <w:r w:rsidRPr="00771165">
        <w:rPr>
          <w:rFonts w:ascii="Aptos" w:hAnsi="Aptos"/>
          <w:lang w:val="en-GB"/>
        </w:rPr>
        <w:t> Lowest rates (late night)</w:t>
      </w:r>
    </w:p>
    <w:p w14:paraId="1E41F8F3" w14:textId="77777777" w:rsidR="00771165" w:rsidRPr="00771165" w:rsidRDefault="00771165" w:rsidP="00771165">
      <w:pPr>
        <w:rPr>
          <w:rFonts w:ascii="Aptos" w:hAnsi="Aptos"/>
          <w:lang w:val="en-GB"/>
        </w:rPr>
      </w:pPr>
      <w:r w:rsidRPr="00771165">
        <w:rPr>
          <w:rFonts w:ascii="Aptos" w:hAnsi="Aptos"/>
          <w:b/>
          <w:bCs/>
          <w:lang w:val="en-GB"/>
        </w:rPr>
        <w:t>Implication:</w:t>
      </w:r>
      <w:r w:rsidRPr="00771165">
        <w:rPr>
          <w:rFonts w:ascii="Aptos" w:hAnsi="Aptos"/>
          <w:lang w:val="en-GB"/>
        </w:rPr>
        <w:t> Customers must strategically manage energy use. This creates new demand for AI-driven energy management tools that optimize battery charging and appliance usage to avoid high-peak costs.</w:t>
      </w:r>
    </w:p>
    <w:p w14:paraId="63F83E4B" w14:textId="77777777" w:rsidR="00771165" w:rsidRPr="00771165" w:rsidRDefault="00771165" w:rsidP="00771165">
      <w:pPr>
        <w:rPr>
          <w:rFonts w:ascii="Aptos" w:hAnsi="Aptos"/>
          <w:lang w:val="en-GB"/>
        </w:rPr>
      </w:pPr>
      <w:r w:rsidRPr="00771165">
        <w:rPr>
          <w:rFonts w:ascii="Aptos" w:hAnsi="Aptos"/>
          <w:b/>
          <w:bCs/>
          <w:lang w:val="en-GB"/>
        </w:rPr>
        <w:t xml:space="preserve">[Insert line graph: Sample </w:t>
      </w:r>
      <w:proofErr w:type="spellStart"/>
      <w:r w:rsidRPr="00771165">
        <w:rPr>
          <w:rFonts w:ascii="Aptos" w:hAnsi="Aptos"/>
          <w:b/>
          <w:bCs/>
          <w:lang w:val="en-GB"/>
        </w:rPr>
        <w:t>Homeflex</w:t>
      </w:r>
      <w:proofErr w:type="spellEnd"/>
      <w:r w:rsidRPr="00771165">
        <w:rPr>
          <w:rFonts w:ascii="Aptos" w:hAnsi="Aptos"/>
          <w:b/>
          <w:bCs/>
          <w:lang w:val="en-GB"/>
        </w:rPr>
        <w:t xml:space="preserve"> Cost Curve vs Standard Usage]</w:t>
      </w:r>
    </w:p>
    <w:p w14:paraId="457AB00B" w14:textId="17782E26" w:rsidR="00771165" w:rsidRPr="00771165" w:rsidRDefault="00771165" w:rsidP="00771165">
      <w:pPr>
        <w:rPr>
          <w:rFonts w:ascii="Aptos" w:hAnsi="Aptos"/>
          <w:lang w:val="en-GB"/>
        </w:rPr>
      </w:pPr>
    </w:p>
    <w:p w14:paraId="0EC065F3" w14:textId="77777777" w:rsidR="00771165" w:rsidRPr="00771165" w:rsidRDefault="00771165" w:rsidP="00771165">
      <w:pPr>
        <w:rPr>
          <w:rFonts w:ascii="Aptos" w:hAnsi="Aptos"/>
          <w:b/>
          <w:bCs/>
          <w:lang w:val="en-GB"/>
        </w:rPr>
      </w:pPr>
      <w:r w:rsidRPr="00771165">
        <w:rPr>
          <w:rFonts w:ascii="Aptos" w:hAnsi="Aptos"/>
          <w:b/>
          <w:bCs/>
          <w:lang w:val="en-GB"/>
        </w:rPr>
        <w:t>6. Industry Recommendations</w:t>
      </w:r>
    </w:p>
    <w:p w14:paraId="0613C77D" w14:textId="77777777" w:rsidR="00771165" w:rsidRPr="00771165" w:rsidRDefault="00771165" w:rsidP="00771165">
      <w:pPr>
        <w:rPr>
          <w:rFonts w:ascii="Aptos" w:hAnsi="Aptos"/>
          <w:lang w:val="en-GB"/>
        </w:rPr>
      </w:pPr>
      <w:r w:rsidRPr="00771165">
        <w:rPr>
          <w:rFonts w:ascii="Aptos" w:hAnsi="Aptos"/>
          <w:lang w:val="en-GB"/>
        </w:rPr>
        <w:t>To streamline SSEG registration and support widespread adoption:</w:t>
      </w:r>
    </w:p>
    <w:p w14:paraId="3FD8C054" w14:textId="77777777" w:rsidR="00771165" w:rsidRPr="00771165" w:rsidRDefault="00771165" w:rsidP="00771165">
      <w:pPr>
        <w:numPr>
          <w:ilvl w:val="0"/>
          <w:numId w:val="10"/>
        </w:numPr>
        <w:rPr>
          <w:rFonts w:ascii="Aptos" w:hAnsi="Aptos"/>
          <w:lang w:val="en-GB"/>
        </w:rPr>
      </w:pPr>
      <w:r w:rsidRPr="00771165">
        <w:rPr>
          <w:rFonts w:ascii="Aptos" w:hAnsi="Aptos"/>
          <w:b/>
          <w:bCs/>
          <w:lang w:val="en-GB"/>
        </w:rPr>
        <w:t>Standardize documentation</w:t>
      </w:r>
      <w:r w:rsidRPr="00771165">
        <w:rPr>
          <w:rFonts w:ascii="Aptos" w:hAnsi="Aptos"/>
          <w:lang w:val="en-GB"/>
        </w:rPr>
        <w:t> across all municipalities</w:t>
      </w:r>
    </w:p>
    <w:p w14:paraId="79574003" w14:textId="77777777" w:rsidR="00771165" w:rsidRPr="00771165" w:rsidRDefault="00771165" w:rsidP="00771165">
      <w:pPr>
        <w:numPr>
          <w:ilvl w:val="0"/>
          <w:numId w:val="10"/>
        </w:numPr>
        <w:rPr>
          <w:rFonts w:ascii="Aptos" w:hAnsi="Aptos"/>
          <w:lang w:val="en-GB"/>
        </w:rPr>
      </w:pPr>
      <w:r w:rsidRPr="00771165">
        <w:rPr>
          <w:rFonts w:ascii="Aptos" w:hAnsi="Aptos"/>
          <w:b/>
          <w:bCs/>
          <w:lang w:val="en-GB"/>
        </w:rPr>
        <w:t>Digitize application processes</w:t>
      </w:r>
      <w:r w:rsidRPr="00771165">
        <w:rPr>
          <w:rFonts w:ascii="Aptos" w:hAnsi="Aptos"/>
          <w:lang w:val="en-GB"/>
        </w:rPr>
        <w:t> with real-time status tracking</w:t>
      </w:r>
    </w:p>
    <w:p w14:paraId="233FA9B4" w14:textId="77777777" w:rsidR="00771165" w:rsidRPr="00771165" w:rsidRDefault="00771165" w:rsidP="00771165">
      <w:pPr>
        <w:numPr>
          <w:ilvl w:val="0"/>
          <w:numId w:val="10"/>
        </w:numPr>
        <w:rPr>
          <w:rFonts w:ascii="Aptos" w:hAnsi="Aptos"/>
          <w:lang w:val="en-GB"/>
        </w:rPr>
      </w:pPr>
      <w:r w:rsidRPr="00771165">
        <w:rPr>
          <w:rFonts w:ascii="Aptos" w:hAnsi="Aptos"/>
          <w:b/>
          <w:bCs/>
          <w:lang w:val="en-GB"/>
        </w:rPr>
        <w:t>Cap or waive registration fees</w:t>
      </w:r>
      <w:r w:rsidRPr="00771165">
        <w:rPr>
          <w:rFonts w:ascii="Aptos" w:hAnsi="Aptos"/>
          <w:lang w:val="en-GB"/>
        </w:rPr>
        <w:t> for systems below a defined size</w:t>
      </w:r>
    </w:p>
    <w:p w14:paraId="5C5E268C" w14:textId="77777777" w:rsidR="00771165" w:rsidRPr="00771165" w:rsidRDefault="00771165" w:rsidP="00771165">
      <w:pPr>
        <w:numPr>
          <w:ilvl w:val="0"/>
          <w:numId w:val="10"/>
        </w:numPr>
        <w:rPr>
          <w:rFonts w:ascii="Aptos" w:hAnsi="Aptos"/>
          <w:lang w:val="en-GB"/>
        </w:rPr>
      </w:pPr>
      <w:r w:rsidRPr="00771165">
        <w:rPr>
          <w:rFonts w:ascii="Aptos" w:hAnsi="Aptos"/>
          <w:b/>
          <w:bCs/>
          <w:lang w:val="en-GB"/>
        </w:rPr>
        <w:t xml:space="preserve">Align </w:t>
      </w:r>
      <w:proofErr w:type="spellStart"/>
      <w:r w:rsidRPr="00771165">
        <w:rPr>
          <w:rFonts w:ascii="Aptos" w:hAnsi="Aptos"/>
          <w:b/>
          <w:bCs/>
          <w:lang w:val="en-GB"/>
        </w:rPr>
        <w:t>Homeflex</w:t>
      </w:r>
      <w:proofErr w:type="spellEnd"/>
      <w:r w:rsidRPr="00771165">
        <w:rPr>
          <w:rFonts w:ascii="Aptos" w:hAnsi="Aptos"/>
          <w:b/>
          <w:bCs/>
          <w:lang w:val="en-GB"/>
        </w:rPr>
        <w:t xml:space="preserve"> rollout with customer education</w:t>
      </w:r>
      <w:r w:rsidRPr="00771165">
        <w:rPr>
          <w:rFonts w:ascii="Aptos" w:hAnsi="Aptos"/>
          <w:lang w:val="en-GB"/>
        </w:rPr>
        <w:t> and support tools</w:t>
      </w:r>
    </w:p>
    <w:p w14:paraId="22F99FA1" w14:textId="77777777" w:rsidR="00771165" w:rsidRPr="00771165" w:rsidRDefault="00771165" w:rsidP="00771165">
      <w:pPr>
        <w:numPr>
          <w:ilvl w:val="0"/>
          <w:numId w:val="10"/>
        </w:numPr>
        <w:rPr>
          <w:rFonts w:ascii="Aptos" w:hAnsi="Aptos"/>
          <w:lang w:val="en-GB"/>
        </w:rPr>
      </w:pPr>
      <w:r w:rsidRPr="00771165">
        <w:rPr>
          <w:rFonts w:ascii="Aptos" w:hAnsi="Aptos"/>
          <w:b/>
          <w:bCs/>
          <w:lang w:val="en-GB"/>
        </w:rPr>
        <w:t>Invest in municipal capacity</w:t>
      </w:r>
      <w:r w:rsidRPr="00771165">
        <w:rPr>
          <w:rFonts w:ascii="Aptos" w:hAnsi="Aptos"/>
          <w:lang w:val="en-GB"/>
        </w:rPr>
        <w:t> for inspections and processing</w:t>
      </w:r>
    </w:p>
    <w:p w14:paraId="0F99FCFA" w14:textId="77777777" w:rsidR="00D025A0" w:rsidRPr="008C5535" w:rsidRDefault="00D025A0" w:rsidP="00771165">
      <w:pPr>
        <w:rPr>
          <w:rFonts w:ascii="Aptos" w:hAnsi="Aptos"/>
          <w:b/>
          <w:bCs/>
          <w:highlight w:val="yellow"/>
          <w:lang w:val="en-GB"/>
        </w:rPr>
      </w:pPr>
    </w:p>
    <w:p w14:paraId="5D6DA400" w14:textId="1A74D848" w:rsidR="00771165" w:rsidRPr="00771165" w:rsidRDefault="00771165" w:rsidP="00771165">
      <w:pPr>
        <w:rPr>
          <w:rFonts w:ascii="Aptos" w:hAnsi="Aptos"/>
          <w:lang w:val="en-GB"/>
        </w:rPr>
      </w:pPr>
      <w:r w:rsidRPr="00771165">
        <w:rPr>
          <w:rFonts w:ascii="Aptos" w:hAnsi="Aptos"/>
          <w:b/>
          <w:bCs/>
          <w:highlight w:val="yellow"/>
          <w:lang w:val="en-GB"/>
        </w:rPr>
        <w:t>[Insert flow diagram: Ideal SSEG Registration Workflow]</w:t>
      </w:r>
    </w:p>
    <w:p w14:paraId="52397CE6" w14:textId="28426DBA" w:rsidR="00771165" w:rsidRPr="00771165" w:rsidRDefault="00771165" w:rsidP="00771165">
      <w:pPr>
        <w:rPr>
          <w:rFonts w:ascii="Aptos" w:hAnsi="Aptos"/>
          <w:lang w:val="en-GB"/>
        </w:rPr>
      </w:pPr>
    </w:p>
    <w:p w14:paraId="027968C9" w14:textId="0F5AAC2C" w:rsidR="00771165" w:rsidRPr="00771165" w:rsidRDefault="00771165" w:rsidP="00771165">
      <w:pPr>
        <w:rPr>
          <w:rFonts w:ascii="Aptos" w:hAnsi="Aptos"/>
          <w:b/>
          <w:bCs/>
          <w:lang w:val="en-GB"/>
        </w:rPr>
      </w:pPr>
      <w:r w:rsidRPr="00771165">
        <w:rPr>
          <w:rFonts w:ascii="Aptos" w:hAnsi="Aptos"/>
          <w:b/>
          <w:bCs/>
          <w:lang w:val="en-GB"/>
        </w:rPr>
        <w:t xml:space="preserve">7. </w:t>
      </w:r>
      <w:r w:rsidR="008C5535" w:rsidRPr="00771165">
        <w:rPr>
          <w:rFonts w:ascii="Aptos" w:hAnsi="Aptos"/>
          <w:b/>
          <w:bCs/>
          <w:lang w:val="en-GB"/>
        </w:rPr>
        <w:t>Outlook</w:t>
      </w:r>
      <w:r w:rsidRPr="00771165">
        <w:rPr>
          <w:rFonts w:ascii="Aptos" w:hAnsi="Aptos"/>
          <w:b/>
          <w:bCs/>
          <w:lang w:val="en-GB"/>
        </w:rPr>
        <w:t>: From Compliance to Opportunity</w:t>
      </w:r>
    </w:p>
    <w:p w14:paraId="06B5A9B6" w14:textId="77777777" w:rsidR="00771165" w:rsidRPr="00771165" w:rsidRDefault="00771165" w:rsidP="00771165">
      <w:pPr>
        <w:rPr>
          <w:rFonts w:ascii="Aptos" w:hAnsi="Aptos"/>
          <w:lang w:val="en-GB"/>
        </w:rPr>
      </w:pPr>
      <w:r w:rsidRPr="00771165">
        <w:rPr>
          <w:rFonts w:ascii="Aptos" w:hAnsi="Aptos"/>
          <w:lang w:val="en-GB"/>
        </w:rPr>
        <w:t xml:space="preserve">While initial concerns around SSEG </w:t>
      </w:r>
      <w:proofErr w:type="spellStart"/>
      <w:r w:rsidRPr="00771165">
        <w:rPr>
          <w:rFonts w:ascii="Aptos" w:hAnsi="Aptos"/>
          <w:lang w:val="en-GB"/>
        </w:rPr>
        <w:t>centered</w:t>
      </w:r>
      <w:proofErr w:type="spellEnd"/>
      <w:r w:rsidRPr="00771165">
        <w:rPr>
          <w:rFonts w:ascii="Aptos" w:hAnsi="Aptos"/>
          <w:lang w:val="en-GB"/>
        </w:rPr>
        <w:t xml:space="preserve"> on administrative burden and cost, the long-term view is more optimistic. Properly implemented, SSEG registration enables:</w:t>
      </w:r>
    </w:p>
    <w:p w14:paraId="023C5190" w14:textId="77777777" w:rsidR="00771165" w:rsidRPr="00771165" w:rsidRDefault="00771165" w:rsidP="00771165">
      <w:pPr>
        <w:numPr>
          <w:ilvl w:val="0"/>
          <w:numId w:val="11"/>
        </w:numPr>
        <w:rPr>
          <w:rFonts w:ascii="Aptos" w:hAnsi="Aptos"/>
          <w:lang w:val="en-GB"/>
        </w:rPr>
      </w:pPr>
      <w:r w:rsidRPr="00771165">
        <w:rPr>
          <w:rFonts w:ascii="Aptos" w:hAnsi="Aptos"/>
          <w:lang w:val="en-GB"/>
        </w:rPr>
        <w:t>Bi-directional metering and feed-in credits</w:t>
      </w:r>
    </w:p>
    <w:p w14:paraId="5F11AC63" w14:textId="77777777" w:rsidR="00771165" w:rsidRPr="00771165" w:rsidRDefault="00771165" w:rsidP="00771165">
      <w:pPr>
        <w:numPr>
          <w:ilvl w:val="0"/>
          <w:numId w:val="11"/>
        </w:numPr>
        <w:rPr>
          <w:rFonts w:ascii="Aptos" w:hAnsi="Aptos"/>
          <w:lang w:val="en-GB"/>
        </w:rPr>
      </w:pPr>
      <w:r w:rsidRPr="00771165">
        <w:rPr>
          <w:rFonts w:ascii="Aptos" w:hAnsi="Aptos"/>
          <w:lang w:val="en-GB"/>
        </w:rPr>
        <w:t>Smarter grid visibility and forecasting</w:t>
      </w:r>
    </w:p>
    <w:p w14:paraId="440F2D8F" w14:textId="77777777" w:rsidR="00771165" w:rsidRPr="00771165" w:rsidRDefault="00771165" w:rsidP="00771165">
      <w:pPr>
        <w:numPr>
          <w:ilvl w:val="0"/>
          <w:numId w:val="11"/>
        </w:numPr>
        <w:rPr>
          <w:rFonts w:ascii="Aptos" w:hAnsi="Aptos"/>
          <w:lang w:val="en-GB"/>
        </w:rPr>
      </w:pPr>
      <w:r w:rsidRPr="00771165">
        <w:rPr>
          <w:rFonts w:ascii="Aptos" w:hAnsi="Aptos"/>
          <w:lang w:val="en-GB"/>
        </w:rPr>
        <w:t>Improved safety and consumer protection</w:t>
      </w:r>
    </w:p>
    <w:p w14:paraId="15539780" w14:textId="77777777" w:rsidR="00771165" w:rsidRPr="00771165" w:rsidRDefault="00771165" w:rsidP="00771165">
      <w:pPr>
        <w:rPr>
          <w:rFonts w:ascii="Aptos" w:hAnsi="Aptos"/>
          <w:lang w:val="en-GB"/>
        </w:rPr>
      </w:pPr>
      <w:r w:rsidRPr="00771165">
        <w:rPr>
          <w:rFonts w:ascii="Aptos" w:hAnsi="Aptos"/>
          <w:lang w:val="en-GB"/>
        </w:rPr>
        <w:t>As SSEG becomes normalized, municipalities and Eskom must evolve to support it—not hinder it. This means rethinking business models, integrating solar into long-term energy strategy, and promoting a consumer-first energy transition.</w:t>
      </w:r>
    </w:p>
    <w:p w14:paraId="42E7C717" w14:textId="649A23B6" w:rsidR="00771165" w:rsidRPr="00771165" w:rsidRDefault="00771165" w:rsidP="00771165">
      <w:pPr>
        <w:rPr>
          <w:rFonts w:ascii="Aptos" w:hAnsi="Aptos"/>
          <w:lang w:val="en-GB"/>
        </w:rPr>
      </w:pPr>
    </w:p>
    <w:p w14:paraId="777F1070" w14:textId="3B4C4711" w:rsidR="009255D6" w:rsidRDefault="008C5535" w:rsidP="009255D6">
      <w:pPr>
        <w:rPr>
          <w:rFonts w:ascii="Aptos" w:hAnsi="Aptos"/>
          <w:b/>
          <w:bCs/>
          <w:lang w:val="en-GB"/>
        </w:rPr>
      </w:pPr>
      <w:r w:rsidRPr="008C5535">
        <w:rPr>
          <w:rFonts w:ascii="Aptos" w:hAnsi="Aptos"/>
          <w:b/>
          <w:bCs/>
          <w:lang w:val="en-GB"/>
        </w:rPr>
        <w:t xml:space="preserve">8 </w:t>
      </w:r>
      <w:r w:rsidR="009255D6" w:rsidRPr="008C5535">
        <w:rPr>
          <w:rFonts w:ascii="Aptos" w:hAnsi="Aptos"/>
          <w:b/>
          <w:bCs/>
          <w:lang w:val="en-GB"/>
        </w:rPr>
        <w:t>Ensuring Fair Tariffs and Transparent Regulation for SSEG Customers</w:t>
      </w:r>
    </w:p>
    <w:p w14:paraId="60B7426E" w14:textId="77777777" w:rsidR="008C5535" w:rsidRPr="008C5535" w:rsidRDefault="008C5535" w:rsidP="009255D6">
      <w:pPr>
        <w:rPr>
          <w:rFonts w:ascii="Aptos" w:hAnsi="Aptos"/>
          <w:b/>
          <w:bCs/>
          <w:lang w:val="en-GB"/>
        </w:rPr>
      </w:pPr>
    </w:p>
    <w:p w14:paraId="02D0EFD9" w14:textId="758EA750" w:rsidR="008C5535" w:rsidRPr="008C5535" w:rsidRDefault="008C5535" w:rsidP="008C5535">
      <w:pPr>
        <w:rPr>
          <w:rFonts w:ascii="Aptos" w:hAnsi="Aptos"/>
          <w:b/>
          <w:bCs/>
          <w:lang w:val="en-GB"/>
        </w:rPr>
      </w:pPr>
      <w:r w:rsidRPr="008C5535">
        <w:rPr>
          <w:rFonts w:ascii="Aptos" w:hAnsi="Aptos"/>
          <w:b/>
          <w:bCs/>
          <w:highlight w:val="yellow"/>
          <w:lang w:val="en-GB"/>
        </w:rPr>
        <w:t>More information to be included.</w:t>
      </w:r>
      <w:r w:rsidRPr="008C5535">
        <w:rPr>
          <w:rFonts w:ascii="Aptos" w:hAnsi="Aptos"/>
          <w:b/>
          <w:bCs/>
          <w:lang w:val="en-GB"/>
        </w:rPr>
        <w:t xml:space="preserve"> </w:t>
      </w:r>
    </w:p>
    <w:p w14:paraId="739A451B" w14:textId="4AED0B22" w:rsidR="009255D6" w:rsidRPr="008C5535" w:rsidRDefault="009255D6" w:rsidP="008C5535">
      <w:pPr>
        <w:pStyle w:val="p3"/>
        <w:rPr>
          <w:rFonts w:ascii="Aptos" w:hAnsi="Aptos"/>
          <w:lang w:val="en-GB"/>
        </w:rPr>
      </w:pPr>
      <w:r w:rsidRPr="008C5535">
        <w:rPr>
          <w:rFonts w:ascii="Aptos" w:hAnsi="Aptos"/>
          <w:lang w:val="en-GB"/>
        </w:rPr>
        <w:t>The continued growth of Small-Scale Embedded Generation (SSEG), particularly rooftop solar PV and storage, presents a critical opportunity to decentralise energy generation, reduce reliance on constrained grids, and empower South African households and businesses. However, the current regulatory and tariff environment—especially at the municipal level—risks penalising rather than incentivising this transition. Disparities such as those in the City of Johannesburg’s 2024 tariff proposal, where postpaid electricity users face fixed charges of R1615 per month compared to R230 for prepaid users, highlight structural inequities. These inconsistencies not only undermine customer trust but also create significant financial disincentives for SSEG adoption, particularly for postpaid users who are already contributing a higher share to grid costs. This chapter outlines a consolidated set of recommendations for municipalities, Eskom, NERSA, and SAPVIA, aimed at creating a fair, transparent, and cost-reflective framework for SSEG customers. These proposals are designed to ensure that no customer overpays simply because they’ve chosen to invest in clean energy solutions, and that the regulatory environment enables—not obstructs—the adoption of decentralised energy.</w:t>
      </w:r>
    </w:p>
    <w:p w14:paraId="005A24E2" w14:textId="0A8DEB9B" w:rsidR="009255D6" w:rsidRPr="008C5535" w:rsidRDefault="008C5535" w:rsidP="009255D6">
      <w:pPr>
        <w:pStyle w:val="p1"/>
        <w:rPr>
          <w:rFonts w:ascii="Aptos" w:hAnsi="Aptos"/>
          <w:lang w:val="en-GB"/>
        </w:rPr>
      </w:pPr>
      <w:r>
        <w:rPr>
          <w:rFonts w:ascii="Aptos" w:hAnsi="Aptos"/>
          <w:b/>
          <w:bCs/>
          <w:lang w:val="en-GB"/>
        </w:rPr>
        <w:t xml:space="preserve">8.1 </w:t>
      </w:r>
      <w:r w:rsidR="009255D6" w:rsidRPr="008C5535">
        <w:rPr>
          <w:rFonts w:ascii="Aptos" w:hAnsi="Aptos"/>
          <w:b/>
          <w:bCs/>
          <w:lang w:val="en-GB"/>
        </w:rPr>
        <w:t>Harmonise Fixed Charges Between Prepaid and Postpaid Tariffs</w:t>
      </w:r>
    </w:p>
    <w:p w14:paraId="1D45A02F" w14:textId="77777777" w:rsidR="009255D6" w:rsidRPr="008C5535" w:rsidRDefault="009255D6" w:rsidP="009255D6">
      <w:pPr>
        <w:pStyle w:val="p3"/>
        <w:rPr>
          <w:rFonts w:ascii="Aptos" w:hAnsi="Aptos"/>
          <w:lang w:val="en-GB"/>
        </w:rPr>
      </w:pPr>
      <w:r w:rsidRPr="008C5535">
        <w:rPr>
          <w:rFonts w:ascii="Aptos" w:hAnsi="Aptos"/>
          <w:lang w:val="en-GB"/>
        </w:rPr>
        <w:t xml:space="preserve">Municipalities must address the significant gap in fixed charges between postpaid and prepaid customers. These disparities are not based on actual cost-to-serve and </w:t>
      </w:r>
      <w:r w:rsidRPr="008C5535">
        <w:rPr>
          <w:rFonts w:ascii="Aptos" w:hAnsi="Aptos"/>
          <w:lang w:val="en-GB"/>
        </w:rPr>
        <w:lastRenderedPageBreak/>
        <w:t>amount to unjustified discrimination. Fixed charges should be harmonised across prepaid and postpaid tariffs to reflect true costs and ensure equity.</w:t>
      </w:r>
    </w:p>
    <w:p w14:paraId="131EF9C1" w14:textId="77777777" w:rsidR="009255D6" w:rsidRPr="008C5535" w:rsidRDefault="009255D6" w:rsidP="009255D6">
      <w:pPr>
        <w:pStyle w:val="p2"/>
        <w:rPr>
          <w:rFonts w:ascii="Aptos" w:hAnsi="Aptos"/>
          <w:lang w:val="en-GB"/>
        </w:rPr>
      </w:pPr>
    </w:p>
    <w:p w14:paraId="26601856" w14:textId="3122867A" w:rsidR="009255D6" w:rsidRPr="008C5535" w:rsidRDefault="008C5535" w:rsidP="009255D6">
      <w:pPr>
        <w:pStyle w:val="p1"/>
        <w:rPr>
          <w:rFonts w:ascii="Aptos" w:hAnsi="Aptos"/>
          <w:lang w:val="en-GB"/>
        </w:rPr>
      </w:pPr>
      <w:r>
        <w:rPr>
          <w:rFonts w:ascii="Aptos" w:hAnsi="Aptos"/>
          <w:b/>
          <w:bCs/>
          <w:lang w:val="en-GB"/>
        </w:rPr>
        <w:t xml:space="preserve">8.2 </w:t>
      </w:r>
      <w:r w:rsidR="009255D6" w:rsidRPr="008C5535">
        <w:rPr>
          <w:rFonts w:ascii="Aptos" w:hAnsi="Aptos"/>
          <w:b/>
          <w:bCs/>
          <w:lang w:val="en-GB"/>
        </w:rPr>
        <w:t>Introduce a Prepaid SSEG Tariff Class</w:t>
      </w:r>
    </w:p>
    <w:p w14:paraId="4F92700F" w14:textId="77777777" w:rsidR="009255D6" w:rsidRPr="008C5535" w:rsidRDefault="009255D6" w:rsidP="009255D6">
      <w:pPr>
        <w:pStyle w:val="p3"/>
        <w:rPr>
          <w:rFonts w:ascii="Aptos" w:hAnsi="Aptos"/>
          <w:lang w:val="en-GB"/>
        </w:rPr>
      </w:pPr>
      <w:r w:rsidRPr="008C5535">
        <w:rPr>
          <w:rFonts w:ascii="Aptos" w:hAnsi="Aptos"/>
          <w:lang w:val="en-GB"/>
        </w:rPr>
        <w:t>Municipalities should develop a dedicated prepaid SSEG tariff class that includes bi-directional metering, smart load tracking, fair feed-in provisions, and time-of-use pricing options. Currently, prepaid customers often lack access to smart meters or the ability to export power back to the grid, limiting the value of their solar and storage investments.</w:t>
      </w:r>
    </w:p>
    <w:p w14:paraId="3FE1E0F7" w14:textId="77777777" w:rsidR="009255D6" w:rsidRPr="008C5535" w:rsidRDefault="009255D6" w:rsidP="009255D6">
      <w:pPr>
        <w:pStyle w:val="p2"/>
        <w:rPr>
          <w:rFonts w:ascii="Aptos" w:hAnsi="Aptos"/>
          <w:lang w:val="en-GB"/>
        </w:rPr>
      </w:pPr>
    </w:p>
    <w:p w14:paraId="578044B0" w14:textId="7C6E9601" w:rsidR="009255D6" w:rsidRPr="008C5535" w:rsidRDefault="008C5535" w:rsidP="009255D6">
      <w:pPr>
        <w:pStyle w:val="p1"/>
        <w:rPr>
          <w:rFonts w:ascii="Aptos" w:hAnsi="Aptos"/>
          <w:lang w:val="en-GB"/>
        </w:rPr>
      </w:pPr>
      <w:r>
        <w:rPr>
          <w:rFonts w:ascii="Aptos" w:hAnsi="Aptos"/>
          <w:b/>
          <w:bCs/>
          <w:lang w:val="en-GB"/>
        </w:rPr>
        <w:t xml:space="preserve">8.3 </w:t>
      </w:r>
      <w:r w:rsidR="009255D6" w:rsidRPr="008C5535">
        <w:rPr>
          <w:rFonts w:ascii="Aptos" w:hAnsi="Aptos"/>
          <w:b/>
          <w:bCs/>
          <w:lang w:val="en-GB"/>
        </w:rPr>
        <w:t>Streamline and Digitise SSEG Registration and Metering</w:t>
      </w:r>
    </w:p>
    <w:p w14:paraId="6D08FA1E" w14:textId="2317F2A9" w:rsidR="009255D6" w:rsidRPr="008C5535" w:rsidRDefault="009255D6" w:rsidP="008C5535">
      <w:pPr>
        <w:pStyle w:val="p3"/>
        <w:rPr>
          <w:rFonts w:ascii="Aptos" w:hAnsi="Aptos"/>
          <w:lang w:val="en-GB"/>
        </w:rPr>
      </w:pPr>
      <w:r w:rsidRPr="008C5535">
        <w:rPr>
          <w:rFonts w:ascii="Aptos" w:hAnsi="Aptos"/>
          <w:lang w:val="en-GB"/>
        </w:rPr>
        <w:t>Administrative inefficiencies continue to slow down or prevent the approval and connection of compliant SSEG systems. To address this, municipalities should implement a standardised, user-friendly digital platform for SSEG registration and approval, and prioritise the rollout of compatible meters to support SSEG, especially for prepaid users.</w:t>
      </w:r>
    </w:p>
    <w:p w14:paraId="0C7042B8" w14:textId="498C10BE" w:rsidR="009255D6" w:rsidRPr="008C5535" w:rsidRDefault="008C5535" w:rsidP="009255D6">
      <w:pPr>
        <w:pStyle w:val="p1"/>
        <w:rPr>
          <w:rFonts w:ascii="Aptos" w:hAnsi="Aptos"/>
          <w:lang w:val="en-GB"/>
        </w:rPr>
      </w:pPr>
      <w:r>
        <w:rPr>
          <w:rFonts w:ascii="Aptos" w:hAnsi="Aptos"/>
          <w:b/>
          <w:bCs/>
          <w:lang w:val="en-GB"/>
        </w:rPr>
        <w:t xml:space="preserve">8.4 </w:t>
      </w:r>
      <w:r w:rsidR="009255D6" w:rsidRPr="008C5535">
        <w:rPr>
          <w:rFonts w:ascii="Aptos" w:hAnsi="Aptos"/>
          <w:b/>
          <w:bCs/>
          <w:lang w:val="en-GB"/>
        </w:rPr>
        <w:t>Implement Net Billing and Compensation for Grid Support</w:t>
      </w:r>
    </w:p>
    <w:p w14:paraId="557DE126" w14:textId="251EA11F" w:rsidR="009255D6" w:rsidRPr="008C5535" w:rsidRDefault="009255D6" w:rsidP="008C5535">
      <w:pPr>
        <w:pStyle w:val="p3"/>
        <w:rPr>
          <w:rFonts w:ascii="Aptos" w:hAnsi="Aptos"/>
          <w:lang w:val="en-GB"/>
        </w:rPr>
      </w:pPr>
      <w:r w:rsidRPr="008C5535">
        <w:rPr>
          <w:rFonts w:ascii="Aptos" w:hAnsi="Aptos"/>
          <w:lang w:val="en-GB"/>
        </w:rPr>
        <w:t>Customers who feed energy back to the grid or reduce peak demand through batteries or smart usage should receive appropriate compensation. Municipalities and Eskom should implement net billing frameworks or performance-based feed-in tariffs that reward grid-friendly customer behaviour.</w:t>
      </w:r>
    </w:p>
    <w:p w14:paraId="59336411" w14:textId="1B2E61BB" w:rsidR="009255D6" w:rsidRPr="008C5535" w:rsidRDefault="008C5535" w:rsidP="009255D6">
      <w:pPr>
        <w:pStyle w:val="p1"/>
        <w:rPr>
          <w:rFonts w:ascii="Aptos" w:hAnsi="Aptos"/>
          <w:lang w:val="en-GB"/>
        </w:rPr>
      </w:pPr>
      <w:r>
        <w:rPr>
          <w:rFonts w:ascii="Aptos" w:hAnsi="Aptos"/>
          <w:b/>
          <w:bCs/>
          <w:lang w:val="en-GB"/>
        </w:rPr>
        <w:t xml:space="preserve">8.5 </w:t>
      </w:r>
      <w:r w:rsidR="009255D6" w:rsidRPr="008C5535">
        <w:rPr>
          <w:rFonts w:ascii="Aptos" w:hAnsi="Aptos"/>
          <w:b/>
          <w:bCs/>
          <w:lang w:val="en-GB"/>
        </w:rPr>
        <w:t>Establish Eskom as a National Tariff Benchmark</w:t>
      </w:r>
    </w:p>
    <w:p w14:paraId="5080CB68" w14:textId="68C51369" w:rsidR="009255D6" w:rsidRPr="008C5535" w:rsidRDefault="009255D6" w:rsidP="008C5535">
      <w:pPr>
        <w:pStyle w:val="p3"/>
        <w:rPr>
          <w:rFonts w:ascii="Aptos" w:hAnsi="Aptos"/>
          <w:lang w:val="en-GB"/>
        </w:rPr>
      </w:pPr>
      <w:r w:rsidRPr="008C5535">
        <w:rPr>
          <w:rFonts w:ascii="Aptos" w:hAnsi="Aptos"/>
          <w:lang w:val="en-GB"/>
        </w:rPr>
        <w:t>As the largest electricity supplier, Eskom has a critical role to play in setting national standards for fairness and cost-reflectivity in SSEG tariffs. Eskom should model transparent, equitable SSEG tariffs that municipalities can adopt.</w:t>
      </w:r>
    </w:p>
    <w:p w14:paraId="78083908" w14:textId="488A520C" w:rsidR="009255D6" w:rsidRPr="008C5535" w:rsidRDefault="008C5535" w:rsidP="009255D6">
      <w:pPr>
        <w:pStyle w:val="p1"/>
        <w:rPr>
          <w:rFonts w:ascii="Aptos" w:hAnsi="Aptos"/>
          <w:lang w:val="en-GB"/>
        </w:rPr>
      </w:pPr>
      <w:r>
        <w:rPr>
          <w:rFonts w:ascii="Aptos" w:hAnsi="Aptos"/>
          <w:b/>
          <w:bCs/>
          <w:lang w:val="en-GB"/>
        </w:rPr>
        <w:t xml:space="preserve">8.6 </w:t>
      </w:r>
      <w:r w:rsidR="009255D6" w:rsidRPr="008C5535">
        <w:rPr>
          <w:rFonts w:ascii="Aptos" w:hAnsi="Aptos"/>
          <w:b/>
          <w:bCs/>
          <w:lang w:val="en-GB"/>
        </w:rPr>
        <w:t>Enforce Cost-Reflectivity and Equity Through NERSA</w:t>
      </w:r>
    </w:p>
    <w:p w14:paraId="62890997" w14:textId="6B869110" w:rsidR="009255D6" w:rsidRPr="008C5535" w:rsidRDefault="009255D6" w:rsidP="008C5535">
      <w:pPr>
        <w:pStyle w:val="p3"/>
        <w:rPr>
          <w:rFonts w:ascii="Aptos" w:hAnsi="Aptos"/>
          <w:lang w:val="en-GB"/>
        </w:rPr>
      </w:pPr>
      <w:r w:rsidRPr="008C5535">
        <w:rPr>
          <w:rFonts w:ascii="Aptos" w:hAnsi="Aptos"/>
          <w:lang w:val="en-GB"/>
        </w:rPr>
        <w:t>NERSA should develop and enforce regulatory guidelines ensuring municipal compliance with cost-reflectivity and equity principles. These should include requirements for fair fixed charges and a justifiable methodology for SSEG-related tariffs.</w:t>
      </w:r>
    </w:p>
    <w:p w14:paraId="3E41C8D6" w14:textId="74D00C6C" w:rsidR="009255D6" w:rsidRPr="008C5535" w:rsidRDefault="008C5535" w:rsidP="009255D6">
      <w:pPr>
        <w:pStyle w:val="p1"/>
        <w:rPr>
          <w:rFonts w:ascii="Aptos" w:hAnsi="Aptos"/>
          <w:lang w:val="en-GB"/>
        </w:rPr>
      </w:pPr>
      <w:r>
        <w:rPr>
          <w:rFonts w:ascii="Aptos" w:hAnsi="Aptos"/>
          <w:b/>
          <w:bCs/>
          <w:lang w:val="en-GB"/>
        </w:rPr>
        <w:t xml:space="preserve">8.7 </w:t>
      </w:r>
      <w:r w:rsidR="009255D6" w:rsidRPr="008C5535">
        <w:rPr>
          <w:rFonts w:ascii="Aptos" w:hAnsi="Aptos"/>
          <w:b/>
          <w:bCs/>
          <w:lang w:val="en-GB"/>
        </w:rPr>
        <w:t>Ensure Transparency and Public Participation in Tariff Design</w:t>
      </w:r>
    </w:p>
    <w:p w14:paraId="7CC2918E" w14:textId="77777777" w:rsidR="009255D6" w:rsidRPr="008C5535" w:rsidRDefault="009255D6" w:rsidP="009255D6">
      <w:pPr>
        <w:pStyle w:val="p3"/>
        <w:rPr>
          <w:rFonts w:ascii="Aptos" w:hAnsi="Aptos"/>
          <w:lang w:val="en-GB"/>
        </w:rPr>
      </w:pPr>
      <w:r w:rsidRPr="008C5535">
        <w:rPr>
          <w:rFonts w:ascii="Aptos" w:hAnsi="Aptos"/>
          <w:lang w:val="en-GB"/>
        </w:rPr>
        <w:t xml:space="preserve">Consumers must be informed and included in tariff decisions that materially affect their energy costs and investment incentives. NERSA should require municipalities to </w:t>
      </w:r>
      <w:r w:rsidRPr="008C5535">
        <w:rPr>
          <w:rFonts w:ascii="Aptos" w:hAnsi="Aptos"/>
          <w:lang w:val="en-GB"/>
        </w:rPr>
        <w:lastRenderedPageBreak/>
        <w:t>publicly disclose tariff methodologies and assumptions and provide meaningful public participation processes for all tariff changes impacting SSEG customers.</w:t>
      </w:r>
    </w:p>
    <w:p w14:paraId="4F56F04B" w14:textId="77777777" w:rsidR="009255D6" w:rsidRPr="008C5535" w:rsidRDefault="009255D6" w:rsidP="009255D6">
      <w:pPr>
        <w:pStyle w:val="p2"/>
        <w:rPr>
          <w:rFonts w:ascii="Aptos" w:hAnsi="Aptos"/>
          <w:lang w:val="en-GB"/>
        </w:rPr>
      </w:pPr>
    </w:p>
    <w:p w14:paraId="554D42E3" w14:textId="4BE1C923" w:rsidR="009255D6" w:rsidRPr="008C5535" w:rsidRDefault="008C5535" w:rsidP="009255D6">
      <w:pPr>
        <w:pStyle w:val="p1"/>
        <w:rPr>
          <w:rFonts w:ascii="Aptos" w:hAnsi="Aptos"/>
          <w:lang w:val="en-GB"/>
        </w:rPr>
      </w:pPr>
      <w:r>
        <w:rPr>
          <w:rFonts w:ascii="Aptos" w:hAnsi="Aptos"/>
          <w:b/>
          <w:bCs/>
          <w:lang w:val="en-GB"/>
        </w:rPr>
        <w:t xml:space="preserve">8.8 </w:t>
      </w:r>
      <w:r w:rsidR="009255D6" w:rsidRPr="008C5535">
        <w:rPr>
          <w:rFonts w:ascii="Aptos" w:hAnsi="Aptos"/>
          <w:b/>
          <w:bCs/>
          <w:lang w:val="en-GB"/>
        </w:rPr>
        <w:t>Standardise Feed-in Tariff Guidelines Across Jurisdictions</w:t>
      </w:r>
    </w:p>
    <w:p w14:paraId="34FF7145" w14:textId="2A6D956F" w:rsidR="009255D6" w:rsidRPr="008C5535" w:rsidRDefault="009255D6" w:rsidP="008C5535">
      <w:pPr>
        <w:pStyle w:val="p3"/>
        <w:rPr>
          <w:rFonts w:ascii="Aptos" w:hAnsi="Aptos"/>
          <w:lang w:val="en-GB"/>
        </w:rPr>
      </w:pPr>
      <w:r w:rsidRPr="008C5535">
        <w:rPr>
          <w:rFonts w:ascii="Aptos" w:hAnsi="Aptos"/>
          <w:lang w:val="en-GB"/>
        </w:rPr>
        <w:t>A lack of national guidance has led to inconsistent and often punitive feed-in tariff structures across municipalities. NERSA should issue a national guideline for feed-in tariffs, covering pricing, export limits, metering requirements, and reconciliation processes.</w:t>
      </w:r>
    </w:p>
    <w:p w14:paraId="46A943AD" w14:textId="31F448D7" w:rsidR="009255D6" w:rsidRPr="008C5535" w:rsidRDefault="008C5535" w:rsidP="009255D6">
      <w:pPr>
        <w:pStyle w:val="p1"/>
        <w:rPr>
          <w:rFonts w:ascii="Aptos" w:hAnsi="Aptos"/>
          <w:lang w:val="en-GB"/>
        </w:rPr>
      </w:pPr>
      <w:r>
        <w:rPr>
          <w:rFonts w:ascii="Aptos" w:hAnsi="Aptos"/>
          <w:b/>
          <w:bCs/>
          <w:lang w:val="en-GB"/>
        </w:rPr>
        <w:t xml:space="preserve">8.9 </w:t>
      </w:r>
      <w:r w:rsidR="009255D6" w:rsidRPr="008C5535">
        <w:rPr>
          <w:rFonts w:ascii="Aptos" w:hAnsi="Aptos"/>
          <w:b/>
          <w:bCs/>
          <w:lang w:val="en-GB"/>
        </w:rPr>
        <w:t>Publish a National SSEG Tariff Scorecard</w:t>
      </w:r>
    </w:p>
    <w:p w14:paraId="26B0499D" w14:textId="2477FE90" w:rsidR="009255D6" w:rsidRPr="008C5535" w:rsidRDefault="009255D6" w:rsidP="008C5535">
      <w:pPr>
        <w:pStyle w:val="p3"/>
        <w:rPr>
          <w:rFonts w:ascii="Aptos" w:hAnsi="Aptos"/>
          <w:lang w:val="en-GB"/>
        </w:rPr>
      </w:pPr>
      <w:r w:rsidRPr="008C5535">
        <w:rPr>
          <w:rFonts w:ascii="Aptos" w:hAnsi="Aptos"/>
          <w:lang w:val="en-GB"/>
        </w:rPr>
        <w:t>To increase transparency and accountability, SAPVIA should publish a national SSEG tariff scorecard ranking municipalities by fairness, accessibility, and support for embedded generation. This would highlight leaders, expose laggards, and create healthy pressure for reform.</w:t>
      </w:r>
    </w:p>
    <w:p w14:paraId="5404D0BE" w14:textId="48BC68E1" w:rsidR="009255D6" w:rsidRPr="008C5535" w:rsidRDefault="008C5535" w:rsidP="009255D6">
      <w:pPr>
        <w:pStyle w:val="p1"/>
        <w:rPr>
          <w:rFonts w:ascii="Aptos" w:hAnsi="Aptos"/>
          <w:lang w:val="en-GB"/>
        </w:rPr>
      </w:pPr>
      <w:r>
        <w:rPr>
          <w:rFonts w:ascii="Aptos" w:hAnsi="Aptos"/>
          <w:b/>
          <w:bCs/>
          <w:lang w:val="en-GB"/>
        </w:rPr>
        <w:t xml:space="preserve">8.10 </w:t>
      </w:r>
      <w:r w:rsidR="009255D6" w:rsidRPr="008C5535">
        <w:rPr>
          <w:rFonts w:ascii="Aptos" w:hAnsi="Aptos"/>
          <w:b/>
          <w:bCs/>
          <w:lang w:val="en-GB"/>
        </w:rPr>
        <w:t>Launch a Public Awareness and Education Campaign</w:t>
      </w:r>
    </w:p>
    <w:p w14:paraId="53F2C495" w14:textId="490A82DD" w:rsidR="009255D6" w:rsidRPr="008C5535" w:rsidRDefault="009255D6" w:rsidP="008C5535">
      <w:pPr>
        <w:pStyle w:val="p3"/>
        <w:rPr>
          <w:rFonts w:ascii="Aptos" w:hAnsi="Aptos"/>
          <w:lang w:val="en-GB"/>
        </w:rPr>
      </w:pPr>
      <w:r w:rsidRPr="008C5535">
        <w:rPr>
          <w:rFonts w:ascii="Aptos" w:hAnsi="Aptos"/>
          <w:lang w:val="en-GB"/>
        </w:rPr>
        <w:t>SAPVIA should launch a public education campaign, including simple bill comparison tools and guidance for registering and optimising SSEG systems. Informed customers are more likely to engage with SSEG opportunities and advocate for fair treatment.</w:t>
      </w:r>
    </w:p>
    <w:p w14:paraId="236C5FCC" w14:textId="099D30A2" w:rsidR="009255D6" w:rsidRPr="008C5535" w:rsidRDefault="008C5535" w:rsidP="009255D6">
      <w:pPr>
        <w:pStyle w:val="p1"/>
        <w:rPr>
          <w:rFonts w:ascii="Aptos" w:hAnsi="Aptos"/>
          <w:lang w:val="en-GB"/>
        </w:rPr>
      </w:pPr>
      <w:r>
        <w:rPr>
          <w:rFonts w:ascii="Aptos" w:hAnsi="Aptos"/>
          <w:b/>
          <w:bCs/>
          <w:lang w:val="en-GB"/>
        </w:rPr>
        <w:t>8.11</w:t>
      </w:r>
      <w:r w:rsidR="009255D6" w:rsidRPr="008C5535">
        <w:rPr>
          <w:rFonts w:ascii="Aptos" w:hAnsi="Aptos"/>
          <w:b/>
          <w:bCs/>
          <w:lang w:val="en-GB"/>
        </w:rPr>
        <w:t xml:space="preserve"> Convene a National Regulatory Roundtable</w:t>
      </w:r>
    </w:p>
    <w:p w14:paraId="1C4F91C4" w14:textId="334B3353" w:rsidR="009255D6" w:rsidRPr="008C5535" w:rsidRDefault="009255D6" w:rsidP="008C5535">
      <w:pPr>
        <w:pStyle w:val="p3"/>
        <w:rPr>
          <w:rFonts w:ascii="Aptos" w:hAnsi="Aptos"/>
          <w:lang w:val="en-GB"/>
        </w:rPr>
      </w:pPr>
      <w:r w:rsidRPr="008C5535">
        <w:rPr>
          <w:rFonts w:ascii="Aptos" w:hAnsi="Aptos"/>
          <w:lang w:val="en-GB"/>
        </w:rPr>
        <w:t>To ensure alignment between national policy, regulatory frameworks, and municipal implementation, SAPVIA should convene an annual roundtable with NERSA, SALGA, Eskom, municipalities, and private sector stakeholders to align on SSEG policy, regulatory direction, and implementation best practices.</w:t>
      </w:r>
    </w:p>
    <w:p w14:paraId="3397CF91" w14:textId="77777777" w:rsidR="009255D6" w:rsidRPr="008C5535" w:rsidRDefault="009255D6" w:rsidP="009255D6">
      <w:pPr>
        <w:pStyle w:val="p3"/>
        <w:rPr>
          <w:rFonts w:ascii="Aptos" w:hAnsi="Aptos"/>
          <w:lang w:val="en-GB"/>
        </w:rPr>
      </w:pPr>
      <w:r w:rsidRPr="008C5535">
        <w:rPr>
          <w:rFonts w:ascii="Aptos" w:hAnsi="Aptos"/>
          <w:lang w:val="en-GB"/>
        </w:rPr>
        <w:t>As South Africa strives to address its energy challenges, the role of customer-owned solar PV and storage will only become more vital. Yet, this potential can only be realised if customers are treated fairly and regulations support—not hinder—their participation in the energy transition. The recommendations outlined in this chapter offer a practical, principled approach to unlocking this value, ensuring customers are not overcharged, and building a future where decentralised energy forms a trusted, efficient, and equitable part of the national grid.</w:t>
      </w:r>
    </w:p>
    <w:p w14:paraId="67A387DB" w14:textId="0858DA08" w:rsidR="00771165" w:rsidRPr="00771165" w:rsidRDefault="00771165" w:rsidP="00771165">
      <w:pPr>
        <w:rPr>
          <w:rFonts w:ascii="Aptos" w:hAnsi="Aptos"/>
          <w:lang w:val="en-GB"/>
        </w:rPr>
      </w:pPr>
    </w:p>
    <w:p w14:paraId="015A1714" w14:textId="77777777" w:rsidR="00DA0D84" w:rsidRPr="008C5535" w:rsidRDefault="00DA0D84">
      <w:pPr>
        <w:rPr>
          <w:rFonts w:ascii="Aptos" w:hAnsi="Aptos"/>
          <w:lang w:val="en-GB"/>
        </w:rPr>
      </w:pPr>
    </w:p>
    <w:sectPr w:rsidR="00DA0D84" w:rsidRPr="008C5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065"/>
    <w:multiLevelType w:val="multilevel"/>
    <w:tmpl w:val="9CE6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76580"/>
    <w:multiLevelType w:val="multilevel"/>
    <w:tmpl w:val="3806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3439A"/>
    <w:multiLevelType w:val="multilevel"/>
    <w:tmpl w:val="6A4E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F072A"/>
    <w:multiLevelType w:val="multilevel"/>
    <w:tmpl w:val="1C7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624A0"/>
    <w:multiLevelType w:val="multilevel"/>
    <w:tmpl w:val="AF20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C6D59"/>
    <w:multiLevelType w:val="multilevel"/>
    <w:tmpl w:val="6C0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33759"/>
    <w:multiLevelType w:val="multilevel"/>
    <w:tmpl w:val="2284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D5260"/>
    <w:multiLevelType w:val="multilevel"/>
    <w:tmpl w:val="CAD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31C10"/>
    <w:multiLevelType w:val="multilevel"/>
    <w:tmpl w:val="98F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73DCF"/>
    <w:multiLevelType w:val="multilevel"/>
    <w:tmpl w:val="E53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EB24A2"/>
    <w:multiLevelType w:val="multilevel"/>
    <w:tmpl w:val="172A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916892">
    <w:abstractNumId w:val="8"/>
  </w:num>
  <w:num w:numId="2" w16cid:durableId="1307971749">
    <w:abstractNumId w:val="1"/>
  </w:num>
  <w:num w:numId="3" w16cid:durableId="1410612707">
    <w:abstractNumId w:val="5"/>
  </w:num>
  <w:num w:numId="4" w16cid:durableId="2130539856">
    <w:abstractNumId w:val="2"/>
  </w:num>
  <w:num w:numId="5" w16cid:durableId="1908805685">
    <w:abstractNumId w:val="3"/>
  </w:num>
  <w:num w:numId="6" w16cid:durableId="460029802">
    <w:abstractNumId w:val="6"/>
  </w:num>
  <w:num w:numId="7" w16cid:durableId="880440772">
    <w:abstractNumId w:val="10"/>
  </w:num>
  <w:num w:numId="8" w16cid:durableId="805388802">
    <w:abstractNumId w:val="4"/>
  </w:num>
  <w:num w:numId="9" w16cid:durableId="404574878">
    <w:abstractNumId w:val="9"/>
  </w:num>
  <w:num w:numId="10" w16cid:durableId="487793569">
    <w:abstractNumId w:val="0"/>
  </w:num>
  <w:num w:numId="11" w16cid:durableId="1505703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104B34"/>
    <w:rsid w:val="00395578"/>
    <w:rsid w:val="00771165"/>
    <w:rsid w:val="008C5535"/>
    <w:rsid w:val="009255D6"/>
    <w:rsid w:val="00A619C3"/>
    <w:rsid w:val="00CF266B"/>
    <w:rsid w:val="00D025A0"/>
    <w:rsid w:val="00DA0D84"/>
    <w:rsid w:val="00F921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95F7"/>
  <w15:chartTrackingRefBased/>
  <w15:docId w15:val="{9A486E8D-66FF-594F-86A6-0CE93D3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1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1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1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1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165"/>
    <w:rPr>
      <w:rFonts w:eastAsiaTheme="majorEastAsia" w:cstheme="majorBidi"/>
      <w:color w:val="272727" w:themeColor="text1" w:themeTint="D8"/>
    </w:rPr>
  </w:style>
  <w:style w:type="paragraph" w:styleId="Title">
    <w:name w:val="Title"/>
    <w:basedOn w:val="Normal"/>
    <w:next w:val="Normal"/>
    <w:link w:val="TitleChar"/>
    <w:uiPriority w:val="10"/>
    <w:qFormat/>
    <w:rsid w:val="007711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1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1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1165"/>
    <w:rPr>
      <w:i/>
      <w:iCs/>
      <w:color w:val="404040" w:themeColor="text1" w:themeTint="BF"/>
    </w:rPr>
  </w:style>
  <w:style w:type="paragraph" w:styleId="ListParagraph">
    <w:name w:val="List Paragraph"/>
    <w:basedOn w:val="Normal"/>
    <w:uiPriority w:val="34"/>
    <w:qFormat/>
    <w:rsid w:val="00771165"/>
    <w:pPr>
      <w:ind w:left="720"/>
      <w:contextualSpacing/>
    </w:pPr>
  </w:style>
  <w:style w:type="character" w:styleId="IntenseEmphasis">
    <w:name w:val="Intense Emphasis"/>
    <w:basedOn w:val="DefaultParagraphFont"/>
    <w:uiPriority w:val="21"/>
    <w:qFormat/>
    <w:rsid w:val="00771165"/>
    <w:rPr>
      <w:i/>
      <w:iCs/>
      <w:color w:val="0F4761" w:themeColor="accent1" w:themeShade="BF"/>
    </w:rPr>
  </w:style>
  <w:style w:type="paragraph" w:styleId="IntenseQuote">
    <w:name w:val="Intense Quote"/>
    <w:basedOn w:val="Normal"/>
    <w:next w:val="Normal"/>
    <w:link w:val="IntenseQuoteChar"/>
    <w:uiPriority w:val="30"/>
    <w:qFormat/>
    <w:rsid w:val="00771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165"/>
    <w:rPr>
      <w:i/>
      <w:iCs/>
      <w:color w:val="0F4761" w:themeColor="accent1" w:themeShade="BF"/>
    </w:rPr>
  </w:style>
  <w:style w:type="character" w:styleId="IntenseReference">
    <w:name w:val="Intense Reference"/>
    <w:basedOn w:val="DefaultParagraphFont"/>
    <w:uiPriority w:val="32"/>
    <w:qFormat/>
    <w:rsid w:val="00771165"/>
    <w:rPr>
      <w:b/>
      <w:bCs/>
      <w:smallCaps/>
      <w:color w:val="0F4761" w:themeColor="accent1" w:themeShade="BF"/>
      <w:spacing w:val="5"/>
    </w:rPr>
  </w:style>
  <w:style w:type="paragraph" w:customStyle="1" w:styleId="p1">
    <w:name w:val="p1"/>
    <w:basedOn w:val="Normal"/>
    <w:rsid w:val="009255D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2">
    <w:name w:val="p2"/>
    <w:basedOn w:val="Normal"/>
    <w:rsid w:val="009255D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9255D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46293">
      <w:bodyDiv w:val="1"/>
      <w:marLeft w:val="0"/>
      <w:marRight w:val="0"/>
      <w:marTop w:val="0"/>
      <w:marBottom w:val="0"/>
      <w:divBdr>
        <w:top w:val="none" w:sz="0" w:space="0" w:color="auto"/>
        <w:left w:val="none" w:sz="0" w:space="0" w:color="auto"/>
        <w:bottom w:val="none" w:sz="0" w:space="0" w:color="auto"/>
        <w:right w:val="none" w:sz="0" w:space="0" w:color="auto"/>
      </w:divBdr>
    </w:div>
    <w:div w:id="629477364">
      <w:bodyDiv w:val="1"/>
      <w:marLeft w:val="0"/>
      <w:marRight w:val="0"/>
      <w:marTop w:val="0"/>
      <w:marBottom w:val="0"/>
      <w:divBdr>
        <w:top w:val="none" w:sz="0" w:space="0" w:color="auto"/>
        <w:left w:val="none" w:sz="0" w:space="0" w:color="auto"/>
        <w:bottom w:val="none" w:sz="0" w:space="0" w:color="auto"/>
        <w:right w:val="none" w:sz="0" w:space="0" w:color="auto"/>
      </w:divBdr>
      <w:divsChild>
        <w:div w:id="1255627970">
          <w:marLeft w:val="0"/>
          <w:marRight w:val="0"/>
          <w:marTop w:val="0"/>
          <w:marBottom w:val="0"/>
          <w:divBdr>
            <w:top w:val="none" w:sz="0" w:space="0" w:color="auto"/>
            <w:left w:val="none" w:sz="0" w:space="0" w:color="auto"/>
            <w:bottom w:val="none" w:sz="0" w:space="0" w:color="auto"/>
            <w:right w:val="none" w:sz="0" w:space="0" w:color="auto"/>
          </w:divBdr>
        </w:div>
        <w:div w:id="599948534">
          <w:marLeft w:val="0"/>
          <w:marRight w:val="0"/>
          <w:marTop w:val="0"/>
          <w:marBottom w:val="0"/>
          <w:divBdr>
            <w:top w:val="none" w:sz="0" w:space="0" w:color="auto"/>
            <w:left w:val="none" w:sz="0" w:space="0" w:color="auto"/>
            <w:bottom w:val="none" w:sz="0" w:space="0" w:color="auto"/>
            <w:right w:val="none" w:sz="0" w:space="0" w:color="auto"/>
          </w:divBdr>
        </w:div>
        <w:div w:id="889535325">
          <w:marLeft w:val="0"/>
          <w:marRight w:val="0"/>
          <w:marTop w:val="0"/>
          <w:marBottom w:val="0"/>
          <w:divBdr>
            <w:top w:val="none" w:sz="0" w:space="0" w:color="auto"/>
            <w:left w:val="none" w:sz="0" w:space="0" w:color="auto"/>
            <w:bottom w:val="none" w:sz="0" w:space="0" w:color="auto"/>
            <w:right w:val="none" w:sz="0" w:space="0" w:color="auto"/>
          </w:divBdr>
        </w:div>
        <w:div w:id="425808510">
          <w:marLeft w:val="0"/>
          <w:marRight w:val="0"/>
          <w:marTop w:val="0"/>
          <w:marBottom w:val="0"/>
          <w:divBdr>
            <w:top w:val="none" w:sz="0" w:space="0" w:color="auto"/>
            <w:left w:val="none" w:sz="0" w:space="0" w:color="auto"/>
            <w:bottom w:val="none" w:sz="0" w:space="0" w:color="auto"/>
            <w:right w:val="none" w:sz="0" w:space="0" w:color="auto"/>
          </w:divBdr>
        </w:div>
        <w:div w:id="99013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1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2858">
          <w:marLeft w:val="0"/>
          <w:marRight w:val="0"/>
          <w:marTop w:val="0"/>
          <w:marBottom w:val="0"/>
          <w:divBdr>
            <w:top w:val="none" w:sz="0" w:space="0" w:color="auto"/>
            <w:left w:val="none" w:sz="0" w:space="0" w:color="auto"/>
            <w:bottom w:val="none" w:sz="0" w:space="0" w:color="auto"/>
            <w:right w:val="none" w:sz="0" w:space="0" w:color="auto"/>
          </w:divBdr>
        </w:div>
        <w:div w:id="1269042555">
          <w:marLeft w:val="0"/>
          <w:marRight w:val="0"/>
          <w:marTop w:val="0"/>
          <w:marBottom w:val="0"/>
          <w:divBdr>
            <w:top w:val="none" w:sz="0" w:space="0" w:color="auto"/>
            <w:left w:val="none" w:sz="0" w:space="0" w:color="auto"/>
            <w:bottom w:val="none" w:sz="0" w:space="0" w:color="auto"/>
            <w:right w:val="none" w:sz="0" w:space="0" w:color="auto"/>
          </w:divBdr>
        </w:div>
        <w:div w:id="630208814">
          <w:marLeft w:val="0"/>
          <w:marRight w:val="0"/>
          <w:marTop w:val="0"/>
          <w:marBottom w:val="0"/>
          <w:divBdr>
            <w:top w:val="none" w:sz="0" w:space="0" w:color="auto"/>
            <w:left w:val="none" w:sz="0" w:space="0" w:color="auto"/>
            <w:bottom w:val="none" w:sz="0" w:space="0" w:color="auto"/>
            <w:right w:val="none" w:sz="0" w:space="0" w:color="auto"/>
          </w:divBdr>
        </w:div>
        <w:div w:id="300573627">
          <w:marLeft w:val="0"/>
          <w:marRight w:val="0"/>
          <w:marTop w:val="0"/>
          <w:marBottom w:val="0"/>
          <w:divBdr>
            <w:top w:val="none" w:sz="0" w:space="0" w:color="auto"/>
            <w:left w:val="none" w:sz="0" w:space="0" w:color="auto"/>
            <w:bottom w:val="none" w:sz="0" w:space="0" w:color="auto"/>
            <w:right w:val="none" w:sz="0" w:space="0" w:color="auto"/>
          </w:divBdr>
        </w:div>
        <w:div w:id="368385326">
          <w:marLeft w:val="0"/>
          <w:marRight w:val="0"/>
          <w:marTop w:val="0"/>
          <w:marBottom w:val="0"/>
          <w:divBdr>
            <w:top w:val="none" w:sz="0" w:space="0" w:color="auto"/>
            <w:left w:val="none" w:sz="0" w:space="0" w:color="auto"/>
            <w:bottom w:val="none" w:sz="0" w:space="0" w:color="auto"/>
            <w:right w:val="none" w:sz="0" w:space="0" w:color="auto"/>
          </w:divBdr>
        </w:div>
        <w:div w:id="132724667">
          <w:marLeft w:val="0"/>
          <w:marRight w:val="0"/>
          <w:marTop w:val="0"/>
          <w:marBottom w:val="0"/>
          <w:divBdr>
            <w:top w:val="none" w:sz="0" w:space="0" w:color="auto"/>
            <w:left w:val="none" w:sz="0" w:space="0" w:color="auto"/>
            <w:bottom w:val="none" w:sz="0" w:space="0" w:color="auto"/>
            <w:right w:val="none" w:sz="0" w:space="0" w:color="auto"/>
          </w:divBdr>
        </w:div>
      </w:divsChild>
    </w:div>
    <w:div w:id="833255256">
      <w:bodyDiv w:val="1"/>
      <w:marLeft w:val="0"/>
      <w:marRight w:val="0"/>
      <w:marTop w:val="0"/>
      <w:marBottom w:val="0"/>
      <w:divBdr>
        <w:top w:val="none" w:sz="0" w:space="0" w:color="auto"/>
        <w:left w:val="none" w:sz="0" w:space="0" w:color="auto"/>
        <w:bottom w:val="none" w:sz="0" w:space="0" w:color="auto"/>
        <w:right w:val="none" w:sz="0" w:space="0" w:color="auto"/>
      </w:divBdr>
      <w:divsChild>
        <w:div w:id="348604333">
          <w:marLeft w:val="0"/>
          <w:marRight w:val="0"/>
          <w:marTop w:val="0"/>
          <w:marBottom w:val="0"/>
          <w:divBdr>
            <w:top w:val="none" w:sz="0" w:space="0" w:color="auto"/>
            <w:left w:val="none" w:sz="0" w:space="0" w:color="auto"/>
            <w:bottom w:val="none" w:sz="0" w:space="0" w:color="auto"/>
            <w:right w:val="none" w:sz="0" w:space="0" w:color="auto"/>
          </w:divBdr>
        </w:div>
        <w:div w:id="1165900770">
          <w:marLeft w:val="0"/>
          <w:marRight w:val="0"/>
          <w:marTop w:val="0"/>
          <w:marBottom w:val="0"/>
          <w:divBdr>
            <w:top w:val="none" w:sz="0" w:space="0" w:color="auto"/>
            <w:left w:val="none" w:sz="0" w:space="0" w:color="auto"/>
            <w:bottom w:val="none" w:sz="0" w:space="0" w:color="auto"/>
            <w:right w:val="none" w:sz="0" w:space="0" w:color="auto"/>
          </w:divBdr>
        </w:div>
        <w:div w:id="777602925">
          <w:marLeft w:val="0"/>
          <w:marRight w:val="0"/>
          <w:marTop w:val="0"/>
          <w:marBottom w:val="0"/>
          <w:divBdr>
            <w:top w:val="none" w:sz="0" w:space="0" w:color="auto"/>
            <w:left w:val="none" w:sz="0" w:space="0" w:color="auto"/>
            <w:bottom w:val="none" w:sz="0" w:space="0" w:color="auto"/>
            <w:right w:val="none" w:sz="0" w:space="0" w:color="auto"/>
          </w:divBdr>
        </w:div>
        <w:div w:id="1570074286">
          <w:marLeft w:val="0"/>
          <w:marRight w:val="0"/>
          <w:marTop w:val="0"/>
          <w:marBottom w:val="0"/>
          <w:divBdr>
            <w:top w:val="none" w:sz="0" w:space="0" w:color="auto"/>
            <w:left w:val="none" w:sz="0" w:space="0" w:color="auto"/>
            <w:bottom w:val="none" w:sz="0" w:space="0" w:color="auto"/>
            <w:right w:val="none" w:sz="0" w:space="0" w:color="auto"/>
          </w:divBdr>
        </w:div>
        <w:div w:id="136840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2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08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126818">
          <w:marLeft w:val="0"/>
          <w:marRight w:val="0"/>
          <w:marTop w:val="0"/>
          <w:marBottom w:val="0"/>
          <w:divBdr>
            <w:top w:val="none" w:sz="0" w:space="0" w:color="auto"/>
            <w:left w:val="none" w:sz="0" w:space="0" w:color="auto"/>
            <w:bottom w:val="none" w:sz="0" w:space="0" w:color="auto"/>
            <w:right w:val="none" w:sz="0" w:space="0" w:color="auto"/>
          </w:divBdr>
        </w:div>
        <w:div w:id="87511045">
          <w:marLeft w:val="0"/>
          <w:marRight w:val="0"/>
          <w:marTop w:val="0"/>
          <w:marBottom w:val="0"/>
          <w:divBdr>
            <w:top w:val="none" w:sz="0" w:space="0" w:color="auto"/>
            <w:left w:val="none" w:sz="0" w:space="0" w:color="auto"/>
            <w:bottom w:val="none" w:sz="0" w:space="0" w:color="auto"/>
            <w:right w:val="none" w:sz="0" w:space="0" w:color="auto"/>
          </w:divBdr>
        </w:div>
        <w:div w:id="847871408">
          <w:marLeft w:val="0"/>
          <w:marRight w:val="0"/>
          <w:marTop w:val="0"/>
          <w:marBottom w:val="0"/>
          <w:divBdr>
            <w:top w:val="none" w:sz="0" w:space="0" w:color="auto"/>
            <w:left w:val="none" w:sz="0" w:space="0" w:color="auto"/>
            <w:bottom w:val="none" w:sz="0" w:space="0" w:color="auto"/>
            <w:right w:val="none" w:sz="0" w:space="0" w:color="auto"/>
          </w:divBdr>
        </w:div>
        <w:div w:id="24446171">
          <w:marLeft w:val="0"/>
          <w:marRight w:val="0"/>
          <w:marTop w:val="0"/>
          <w:marBottom w:val="0"/>
          <w:divBdr>
            <w:top w:val="none" w:sz="0" w:space="0" w:color="auto"/>
            <w:left w:val="none" w:sz="0" w:space="0" w:color="auto"/>
            <w:bottom w:val="none" w:sz="0" w:space="0" w:color="auto"/>
            <w:right w:val="none" w:sz="0" w:space="0" w:color="auto"/>
          </w:divBdr>
        </w:div>
        <w:div w:id="796949327">
          <w:marLeft w:val="0"/>
          <w:marRight w:val="0"/>
          <w:marTop w:val="0"/>
          <w:marBottom w:val="0"/>
          <w:divBdr>
            <w:top w:val="none" w:sz="0" w:space="0" w:color="auto"/>
            <w:left w:val="none" w:sz="0" w:space="0" w:color="auto"/>
            <w:bottom w:val="none" w:sz="0" w:space="0" w:color="auto"/>
            <w:right w:val="none" w:sz="0" w:space="0" w:color="auto"/>
          </w:divBdr>
        </w:div>
        <w:div w:id="1097870604">
          <w:marLeft w:val="0"/>
          <w:marRight w:val="0"/>
          <w:marTop w:val="0"/>
          <w:marBottom w:val="0"/>
          <w:divBdr>
            <w:top w:val="none" w:sz="0" w:space="0" w:color="auto"/>
            <w:left w:val="none" w:sz="0" w:space="0" w:color="auto"/>
            <w:bottom w:val="none" w:sz="0" w:space="0" w:color="auto"/>
            <w:right w:val="none" w:sz="0" w:space="0" w:color="auto"/>
          </w:divBdr>
        </w:div>
      </w:divsChild>
    </w:div>
    <w:div w:id="1238319237">
      <w:bodyDiv w:val="1"/>
      <w:marLeft w:val="0"/>
      <w:marRight w:val="0"/>
      <w:marTop w:val="0"/>
      <w:marBottom w:val="0"/>
      <w:divBdr>
        <w:top w:val="none" w:sz="0" w:space="0" w:color="auto"/>
        <w:left w:val="none" w:sz="0" w:space="0" w:color="auto"/>
        <w:bottom w:val="none" w:sz="0" w:space="0" w:color="auto"/>
        <w:right w:val="none" w:sz="0" w:space="0" w:color="auto"/>
      </w:divBdr>
    </w:div>
    <w:div w:id="1618298261">
      <w:bodyDiv w:val="1"/>
      <w:marLeft w:val="0"/>
      <w:marRight w:val="0"/>
      <w:marTop w:val="0"/>
      <w:marBottom w:val="0"/>
      <w:divBdr>
        <w:top w:val="none" w:sz="0" w:space="0" w:color="auto"/>
        <w:left w:val="none" w:sz="0" w:space="0" w:color="auto"/>
        <w:bottom w:val="none" w:sz="0" w:space="0" w:color="auto"/>
        <w:right w:val="none" w:sz="0" w:space="0" w:color="auto"/>
      </w:divBdr>
    </w:div>
    <w:div w:id="16915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3553-1C52-4B40-BE1F-277B172F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 WeTility</dc:creator>
  <cp:keywords/>
  <dc:description/>
  <cp:lastModifiedBy>Vincent | WeTility</cp:lastModifiedBy>
  <cp:revision>2</cp:revision>
  <dcterms:created xsi:type="dcterms:W3CDTF">2025-04-15T17:18:00Z</dcterms:created>
  <dcterms:modified xsi:type="dcterms:W3CDTF">2025-04-15T17:18:00Z</dcterms:modified>
</cp:coreProperties>
</file>